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65CF83" w14:textId="524C2080" w:rsidR="00F83CD8" w:rsidRPr="00573315" w:rsidRDefault="00573315">
      <w:pPr>
        <w:jc w:val="center"/>
        <w:rPr>
          <w:rFonts w:ascii="Verdana" w:hAnsi="Verdana" w:cs="Arial"/>
          <w:b/>
          <w:sz w:val="20"/>
          <w:u w:val="single"/>
        </w:rPr>
      </w:pPr>
      <w:r w:rsidRPr="00573315">
        <w:rPr>
          <w:rFonts w:ascii="Verdana" w:hAnsi="Verdana" w:cs="Arial"/>
          <w:b/>
          <w:sz w:val="20"/>
          <w:u w:val="single"/>
        </w:rPr>
        <w:t>ANEXO I</w:t>
      </w:r>
    </w:p>
    <w:p w14:paraId="49D6A6F0" w14:textId="77777777" w:rsidR="00F83CD8" w:rsidRPr="00573315" w:rsidRDefault="00000000">
      <w:pPr>
        <w:jc w:val="center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bCs/>
          <w:sz w:val="20"/>
          <w:u w:val="single"/>
        </w:rPr>
        <w:t>TERMO DE REFERÊNCIA – LEI 14.133/21  de 01 de abril de 2021</w:t>
      </w:r>
    </w:p>
    <w:p w14:paraId="4ACF1091" w14:textId="77777777" w:rsidR="00F83CD8" w:rsidRPr="00573315" w:rsidRDefault="00F83CD8">
      <w:pPr>
        <w:jc w:val="center"/>
        <w:rPr>
          <w:rFonts w:ascii="Verdana" w:hAnsi="Verdana" w:cs="Arial"/>
          <w:b/>
          <w:sz w:val="20"/>
          <w:u w:val="single"/>
        </w:rPr>
      </w:pPr>
    </w:p>
    <w:p w14:paraId="04BB5A2E" w14:textId="77777777" w:rsidR="00F83CD8" w:rsidRPr="00573315" w:rsidRDefault="00000000">
      <w:pPr>
        <w:jc w:val="center"/>
        <w:rPr>
          <w:rFonts w:ascii="Verdana" w:hAnsi="Verdana"/>
          <w:sz w:val="20"/>
        </w:rPr>
      </w:pPr>
      <w:r w:rsidRPr="00573315">
        <w:rPr>
          <w:rFonts w:ascii="Verdana" w:hAnsi="Verdana"/>
          <w:b/>
          <w:bCs/>
          <w:iCs/>
          <w:sz w:val="20"/>
        </w:rPr>
        <w:t xml:space="preserve"> AQUISIÇÃO DE VEÍCULOS</w:t>
      </w:r>
      <w:r w:rsidRPr="00573315">
        <w:rPr>
          <w:rFonts w:ascii="Verdana" w:hAnsi="Verdana" w:cs="Arial"/>
          <w:b/>
          <w:bCs/>
          <w:iCs/>
          <w:sz w:val="20"/>
        </w:rPr>
        <w:t xml:space="preserve"> PARA USO NO CRAS E NA SECRETARIA MUNICIPAL DE ASSISTÊNCIA SOCIAL</w:t>
      </w:r>
    </w:p>
    <w:p w14:paraId="227F3F79" w14:textId="77777777" w:rsidR="00F83CD8" w:rsidRPr="00573315" w:rsidRDefault="00F83CD8">
      <w:pPr>
        <w:jc w:val="center"/>
        <w:rPr>
          <w:rFonts w:ascii="Verdana" w:hAnsi="Verdana" w:cs="Arial"/>
          <w:b/>
          <w:sz w:val="20"/>
          <w:u w:val="single"/>
        </w:rPr>
      </w:pPr>
    </w:p>
    <w:p w14:paraId="06B2D79B" w14:textId="77777777" w:rsidR="00F83CD8" w:rsidRPr="00573315" w:rsidRDefault="00000000">
      <w:pPr>
        <w:jc w:val="center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bCs/>
          <w:iCs/>
          <w:sz w:val="20"/>
        </w:rPr>
        <w:t xml:space="preserve">Processo Administrativo nº </w:t>
      </w:r>
      <w:r w:rsidRPr="00573315">
        <w:rPr>
          <w:rFonts w:ascii="Verdana" w:hAnsi="Verdana"/>
          <w:b/>
          <w:bCs/>
          <w:iCs/>
          <w:sz w:val="20"/>
        </w:rPr>
        <w:t>004272/2</w:t>
      </w:r>
      <w:r w:rsidRPr="00573315">
        <w:rPr>
          <w:rFonts w:ascii="Verdana" w:hAnsi="Verdana" w:cs="Arial"/>
          <w:b/>
          <w:bCs/>
          <w:iCs/>
          <w:sz w:val="20"/>
        </w:rPr>
        <w:t>025 de 06 de junho de 2025 (SECRETARIA MUNICIPAL DE ASSISTÊNCIA, DESENVOLVIMENTO SOCIAL E FAMÍLIA)</w:t>
      </w:r>
    </w:p>
    <w:p w14:paraId="16061633" w14:textId="77777777" w:rsidR="00F83CD8" w:rsidRPr="00573315" w:rsidRDefault="00F83CD8">
      <w:pPr>
        <w:rPr>
          <w:rFonts w:ascii="Verdana" w:hAnsi="Verdana" w:cs="Arial"/>
          <w:b/>
          <w:sz w:val="20"/>
          <w:u w:val="single"/>
        </w:rPr>
      </w:pPr>
    </w:p>
    <w:p w14:paraId="028E618C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1. DAS CONDIÇÕES GERAIS DA CONTRATAÇÃO </w:t>
      </w:r>
    </w:p>
    <w:p w14:paraId="2B40E21F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/>
          <w:b w:val="0"/>
          <w:iCs/>
          <w:color w:val="auto"/>
          <w:sz w:val="20"/>
          <w:szCs w:val="20"/>
        </w:rPr>
        <w:t xml:space="preserve">1.1. Aquisição por meio de </w:t>
      </w:r>
      <w:r w:rsidRPr="00573315">
        <w:rPr>
          <w:rFonts w:ascii="Verdana" w:eastAsia="Times New Roman" w:hAnsi="Verdana" w:cs="Times New Roman"/>
          <w:b w:val="0"/>
          <w:iCs/>
          <w:color w:val="auto"/>
          <w:sz w:val="20"/>
          <w:szCs w:val="20"/>
          <w:lang w:eastAsia="pt-BR"/>
        </w:rPr>
        <w:t>licitação</w:t>
      </w:r>
      <w:r w:rsidRPr="00573315">
        <w:rPr>
          <w:rFonts w:ascii="Verdana" w:hAnsi="Verdana"/>
          <w:b w:val="0"/>
          <w:iCs/>
          <w:color w:val="auto"/>
          <w:sz w:val="20"/>
          <w:szCs w:val="20"/>
        </w:rPr>
        <w:t xml:space="preserve"> </w:t>
      </w:r>
      <w:r w:rsidRPr="00573315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 xml:space="preserve">de veículos </w:t>
      </w:r>
      <w:r w:rsidRPr="00573315">
        <w:rPr>
          <w:rFonts w:ascii="Verdana" w:hAnsi="Verdana"/>
          <w:b w:val="0"/>
          <w:iCs/>
          <w:color w:val="auto"/>
          <w:sz w:val="20"/>
          <w:szCs w:val="20"/>
          <w:lang w:eastAsia="zh-CN" w:bidi="hi-IN"/>
        </w:rPr>
        <w:t xml:space="preserve">para a estruturação da rede de serviços do SUAS no CRAS e para a Secretaria Municipal de Assistência Social, </w:t>
      </w:r>
      <w:r w:rsidRPr="00573315">
        <w:rPr>
          <w:rFonts w:ascii="Verdana" w:eastAsia="Times New Roman" w:hAnsi="Verdana" w:cs="Times New Roman"/>
          <w:b w:val="0"/>
          <w:iCs/>
          <w:color w:val="auto"/>
          <w:sz w:val="20"/>
          <w:szCs w:val="20"/>
        </w:rPr>
        <w:t>em cumprimento de emendas parlamentar federal nº 320470820220003 e emenda estadual (não citada nos autos),</w:t>
      </w:r>
      <w:r w:rsidRPr="00573315">
        <w:rPr>
          <w:rFonts w:ascii="Verdana" w:hAnsi="Verdana"/>
          <w:b w:val="0"/>
          <w:iCs/>
          <w:color w:val="auto"/>
          <w:sz w:val="20"/>
          <w:szCs w:val="20"/>
        </w:rPr>
        <w:t xml:space="preserve"> nos termos da tabela abaixo, conforme condições e exigências estabelecidas neste instrumento e no ETP.</w:t>
      </w:r>
    </w:p>
    <w:p w14:paraId="732F83D2" w14:textId="77777777" w:rsidR="00F83CD8" w:rsidRPr="00573315" w:rsidRDefault="00F83CD8">
      <w:pPr>
        <w:suppressAutoHyphens w:val="0"/>
        <w:jc w:val="both"/>
        <w:rPr>
          <w:rFonts w:ascii="Verdana" w:hAnsi="Verdana"/>
          <w:sz w:val="20"/>
        </w:rPr>
      </w:pPr>
    </w:p>
    <w:tbl>
      <w:tblPr>
        <w:tblW w:w="10313" w:type="dxa"/>
        <w:tblInd w:w="-75" w:type="dxa"/>
        <w:tblLayout w:type="fixed"/>
        <w:tblLook w:val="04A0" w:firstRow="1" w:lastRow="0" w:firstColumn="1" w:lastColumn="0" w:noHBand="0" w:noVBand="1"/>
      </w:tblPr>
      <w:tblGrid>
        <w:gridCol w:w="851"/>
        <w:gridCol w:w="3170"/>
        <w:gridCol w:w="1408"/>
        <w:gridCol w:w="1204"/>
        <w:gridCol w:w="1861"/>
        <w:gridCol w:w="1819"/>
      </w:tblGrid>
      <w:tr w:rsidR="00573315" w:rsidRPr="00573315" w14:paraId="446B5016" w14:textId="77777777">
        <w:trPr>
          <w:trHeight w:val="4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107DA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bCs/>
                <w:sz w:val="20"/>
              </w:rPr>
              <w:t>ITEM</w:t>
            </w:r>
          </w:p>
          <w:p w14:paraId="53F6F3B6" w14:textId="77777777" w:rsidR="00F83CD8" w:rsidRPr="00573315" w:rsidRDefault="00F83CD8">
            <w:pPr>
              <w:widowControl w:val="0"/>
              <w:jc w:val="center"/>
              <w:rPr>
                <w:rFonts w:ascii="Verdana" w:hAnsi="Verdana" w:cs="Arial"/>
                <w:b/>
                <w:sz w:val="20"/>
                <w:u w:val="single"/>
              </w:rPr>
            </w:pPr>
          </w:p>
        </w:tc>
        <w:tc>
          <w:tcPr>
            <w:tcW w:w="3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06BD4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bCs/>
                <w:sz w:val="20"/>
              </w:rPr>
              <w:t>ESPECIFICAÇÃO</w:t>
            </w:r>
          </w:p>
        </w:tc>
        <w:tc>
          <w:tcPr>
            <w:tcW w:w="1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579BB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bCs/>
                <w:sz w:val="20"/>
              </w:rPr>
              <w:t>UNIDADE DE MEDIDA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BF358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 w:cs="Arial"/>
                <w:b/>
                <w:bCs/>
                <w:sz w:val="20"/>
              </w:rPr>
              <w:t>QUANT.</w:t>
            </w:r>
          </w:p>
        </w:tc>
        <w:tc>
          <w:tcPr>
            <w:tcW w:w="18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34CEA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bCs/>
                <w:sz w:val="20"/>
              </w:rPr>
              <w:t>VALOR UNITÁRIO</w:t>
            </w:r>
          </w:p>
        </w:tc>
        <w:tc>
          <w:tcPr>
            <w:tcW w:w="1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9A6D99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bCs/>
                <w:sz w:val="20"/>
              </w:rPr>
              <w:t>VALOR TOTAL</w:t>
            </w:r>
          </w:p>
        </w:tc>
      </w:tr>
      <w:tr w:rsidR="00573315" w:rsidRPr="00573315" w14:paraId="583175F7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C3D19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01</w:t>
            </w:r>
          </w:p>
        </w:tc>
        <w:tc>
          <w:tcPr>
            <w:tcW w:w="3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0D181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VEÍCULO 0 KM</w:t>
            </w:r>
          </w:p>
          <w:p w14:paraId="49A23182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veículo leve automotor misto tipo utilitário: pick up cabine simples.</w:t>
            </w:r>
          </w:p>
          <w:p w14:paraId="6E521493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ano de fabricação: 2024 ou 2025, ano modelo: 2025, motor: 1.3, pintura de cor sólida branca, cambio manual, 05 marchas a frente e 01 a ré, protetor de caçamba, protetor de carter, compartimento de carga com capacidade mínima</w:t>
            </w:r>
          </w:p>
          <w:p w14:paraId="5DEC4F20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de 700kg, bicombustível (gasolina ou etanol), capacidade mínima do tanque de combustível de</w:t>
            </w:r>
          </w:p>
          <w:p w14:paraId="4DA4650D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50 litros; rádio usb/bluetooth. altofalantes e antena externa (de serie ou opcional de fábrica), alarme/sistema antifurto; ar condicionado; película</w:t>
            </w:r>
          </w:p>
          <w:p w14:paraId="36C5892D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instalada conforme normas vigentes; equipamentos obrigatórios exigidos pelo contran; air bag duplo, direção hidráulica/elétrica, 02 lugares, 02 portas, garantia mínima de 12 meses; emplacamento e licenciamento incluso no ato da entrega em nome do município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C5AF0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  <w:lang w:eastAsia="en-US"/>
              </w:rPr>
              <w:t>01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8FFD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5BED7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R$ 126.581,00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72774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R$ 126.581,00</w:t>
            </w:r>
          </w:p>
        </w:tc>
      </w:tr>
      <w:tr w:rsidR="00573315" w:rsidRPr="00573315" w14:paraId="6D4AFD37" w14:textId="77777777">
        <w:tc>
          <w:tcPr>
            <w:tcW w:w="85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762FD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 w:cs="Arial"/>
                <w:sz w:val="20"/>
              </w:rPr>
              <w:t>02</w:t>
            </w:r>
          </w:p>
        </w:tc>
        <w:tc>
          <w:tcPr>
            <w:tcW w:w="317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D7114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MOTOCICLETA</w:t>
            </w:r>
          </w:p>
          <w:p w14:paraId="6017FF21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motocicleta 0 km,</w:t>
            </w:r>
          </w:p>
          <w:p w14:paraId="13A3805D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ano de fabricação 2024 ou 2025 ano modelo 2025</w:t>
            </w:r>
          </w:p>
          <w:p w14:paraId="02802E6E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lastRenderedPageBreak/>
              <w:t>motor monocilíndrico arrefecido a ar mínimo de 160 cilindradas trasnmissão de 05 velocidades, partida elétrica injeção eletrônica</w:t>
            </w:r>
          </w:p>
          <w:p w14:paraId="0A81DFBF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cor azul, farol de led, capacidade do tanque de</w:t>
            </w:r>
          </w:p>
          <w:p w14:paraId="33715531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combustível de no mínimo 14 litros;  suspensão dianteira: garfo telescópico suspensão traseiro: dois amortecedores freio dianteiro a disco; freio traseiro a tambor; ignição eletrônica.</w:t>
            </w:r>
          </w:p>
          <w:p w14:paraId="1DDE091E" w14:textId="77777777" w:rsidR="00F83CD8" w:rsidRPr="00573315" w:rsidRDefault="00000000">
            <w:pPr>
              <w:widowControl w:val="0"/>
              <w:jc w:val="both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bicombustível (gasolina ou etanol)  emplacamento e licenciamento incluso no ato da entrega em nome do município</w:t>
            </w:r>
          </w:p>
        </w:tc>
        <w:tc>
          <w:tcPr>
            <w:tcW w:w="140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083B3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  <w:lang w:eastAsia="en-US"/>
              </w:rPr>
              <w:lastRenderedPageBreak/>
              <w:t>03</w:t>
            </w:r>
          </w:p>
        </w:tc>
        <w:tc>
          <w:tcPr>
            <w:tcW w:w="12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94A47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  <w:lang w:eastAsia="en-US"/>
              </w:rPr>
              <w:t>Und</w:t>
            </w:r>
          </w:p>
        </w:tc>
        <w:tc>
          <w:tcPr>
            <w:tcW w:w="186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3324E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R$ 22.278,33</w:t>
            </w:r>
          </w:p>
        </w:tc>
        <w:tc>
          <w:tcPr>
            <w:tcW w:w="181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D89C5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sz w:val="20"/>
              </w:rPr>
              <w:t>R$ 66.834,99</w:t>
            </w:r>
          </w:p>
        </w:tc>
      </w:tr>
      <w:tr w:rsidR="00573315" w:rsidRPr="00573315" w14:paraId="077295CB" w14:textId="77777777">
        <w:trPr>
          <w:trHeight w:val="779"/>
        </w:trPr>
        <w:tc>
          <w:tcPr>
            <w:tcW w:w="10312" w:type="dxa"/>
            <w:gridSpan w:val="6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11F16" w14:textId="77777777" w:rsidR="00F83CD8" w:rsidRPr="00573315" w:rsidRDefault="00000000">
            <w:pPr>
              <w:widowControl w:val="0"/>
              <w:jc w:val="center"/>
              <w:rPr>
                <w:rFonts w:ascii="Verdana" w:hAnsi="Verdana"/>
                <w:sz w:val="20"/>
              </w:rPr>
            </w:pPr>
            <w:r w:rsidRPr="00573315">
              <w:rPr>
                <w:rFonts w:ascii="Verdana" w:hAnsi="Verdana"/>
                <w:b/>
                <w:sz w:val="20"/>
              </w:rPr>
              <w:t xml:space="preserve">VALOR TOTAL: </w:t>
            </w:r>
            <w:r w:rsidRPr="00573315">
              <w:rPr>
                <w:rFonts w:ascii="Verdana" w:hAnsi="Verdana"/>
                <w:b/>
                <w:sz w:val="20"/>
                <w:lang w:eastAsia="en-US"/>
              </w:rPr>
              <w:t>R$  193.415,99 (cento e noventa e três mil quatrocentos e quinze reais e noventa e nove centavos)</w:t>
            </w:r>
          </w:p>
        </w:tc>
      </w:tr>
    </w:tbl>
    <w:p w14:paraId="51E93788" w14:textId="77777777" w:rsidR="00F83CD8" w:rsidRPr="00573315" w:rsidRDefault="00F83CD8">
      <w:pPr>
        <w:pStyle w:val="PargrafodaLista"/>
        <w:widowControl w:val="0"/>
        <w:suppressAutoHyphens w:val="0"/>
        <w:spacing w:line="240" w:lineRule="auto"/>
        <w:ind w:left="-22"/>
        <w:jc w:val="both"/>
        <w:rPr>
          <w:rFonts w:ascii="Verdana" w:hAnsi="Verdana" w:cs="Arial"/>
          <w:b/>
          <w:sz w:val="20"/>
          <w:szCs w:val="20"/>
          <w:u w:val="single"/>
        </w:rPr>
      </w:pPr>
    </w:p>
    <w:p w14:paraId="7B042B61" w14:textId="77777777" w:rsidR="00F83CD8" w:rsidRPr="00573315" w:rsidRDefault="00000000">
      <w:pPr>
        <w:pStyle w:val="PargrafodaLista"/>
        <w:suppressAutoHyphens w:val="0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iCs/>
          <w:sz w:val="20"/>
          <w:szCs w:val="20"/>
        </w:rPr>
        <w:t>1.2</w:t>
      </w:r>
      <w:r w:rsidRPr="00573315">
        <w:rPr>
          <w:rFonts w:ascii="Verdana" w:hAnsi="Verdana"/>
          <w:b/>
          <w:bCs/>
          <w:iCs/>
          <w:sz w:val="20"/>
          <w:szCs w:val="20"/>
        </w:rPr>
        <w:t>.</w:t>
      </w:r>
      <w:r w:rsidRPr="00573315">
        <w:rPr>
          <w:rFonts w:ascii="Verdana" w:hAnsi="Verdana"/>
          <w:iCs/>
          <w:sz w:val="20"/>
          <w:szCs w:val="20"/>
        </w:rPr>
        <w:t xml:space="preserve"> Os objetos desta aquisição, não se enquadram como sendo de bens de luxo, conforme Decreto nº 10.818, de 2021.</w:t>
      </w:r>
    </w:p>
    <w:p w14:paraId="6A01134F" w14:textId="77777777" w:rsidR="00F83CD8" w:rsidRPr="00573315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iCs/>
          <w:sz w:val="20"/>
          <w:szCs w:val="20"/>
        </w:rPr>
        <w:t xml:space="preserve">1.3. </w:t>
      </w:r>
      <w:r w:rsidRPr="00573315">
        <w:rPr>
          <w:rFonts w:ascii="Verdana" w:hAnsi="Verdana"/>
          <w:sz w:val="20"/>
          <w:szCs w:val="20"/>
        </w:rPr>
        <w:t>O prazo de vigência da aquisição será de 06 (seis) meses, com a entrega em 30 (trinta) dias, após a emissão da autorização de fornecimento pelo Departamento de Compras e Contratos.</w:t>
      </w:r>
    </w:p>
    <w:p w14:paraId="464EAD44" w14:textId="77777777" w:rsidR="00F83CD8" w:rsidRPr="00573315" w:rsidRDefault="00000000">
      <w:pPr>
        <w:pStyle w:val="PargrafodaLista"/>
        <w:suppressAutoHyphens w:val="0"/>
        <w:spacing w:line="240" w:lineRule="auto"/>
        <w:ind w:left="-22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sz w:val="20"/>
          <w:szCs w:val="20"/>
        </w:rPr>
        <w:t xml:space="preserve">1.4. </w:t>
      </w:r>
      <w:r w:rsidRPr="00573315">
        <w:rPr>
          <w:rFonts w:ascii="Verdana" w:hAnsi="Verdana" w:cs="Arial"/>
          <w:sz w:val="20"/>
          <w:szCs w:val="20"/>
        </w:rPr>
        <w:t>O objeto da contratação, de preço total estimado orçado pela administração no valor</w:t>
      </w:r>
      <w:r w:rsidRPr="00573315">
        <w:rPr>
          <w:rFonts w:ascii="Verdana" w:eastAsia="Arial" w:hAnsi="Verdana" w:cs="Arial"/>
          <w:sz w:val="20"/>
          <w:szCs w:val="20"/>
        </w:rPr>
        <w:t xml:space="preserve">  </w:t>
      </w:r>
      <w:r w:rsidRPr="00573315">
        <w:rPr>
          <w:rFonts w:ascii="Verdana" w:eastAsia="Arial" w:hAnsi="Verdana" w:cs="Arial"/>
          <w:sz w:val="20"/>
          <w:szCs w:val="20"/>
          <w:lang w:eastAsia="en-US"/>
        </w:rPr>
        <w:t>R$</w:t>
      </w:r>
      <w:r w:rsidRPr="00573315">
        <w:rPr>
          <w:rFonts w:ascii="Verdana" w:eastAsia="Times New Roman" w:hAnsi="Verdana" w:cs="Times New Roman"/>
          <w:sz w:val="20"/>
          <w:szCs w:val="20"/>
          <w:lang w:eastAsia="en-US"/>
        </w:rPr>
        <w:t xml:space="preserve"> 193.415,99 (cento e noventa e três mil quatrocentos e quinze reais e noventa e nove centavos). </w:t>
      </w:r>
      <w:r w:rsidRPr="00573315">
        <w:rPr>
          <w:rFonts w:ascii="Verdana" w:hAnsi="Verdana" w:cs="Arial"/>
          <w:sz w:val="20"/>
          <w:szCs w:val="20"/>
        </w:rPr>
        <w:t xml:space="preserve">Para fins de classificação, será considerado o menor preço </w:t>
      </w:r>
      <w:r w:rsidRPr="00573315">
        <w:rPr>
          <w:rFonts w:ascii="Verdana" w:eastAsia="Times New Roman" w:hAnsi="Verdana" w:cs="Arial"/>
          <w:sz w:val="20"/>
          <w:szCs w:val="20"/>
          <w:lang w:eastAsia="zh-CN"/>
        </w:rPr>
        <w:t>por item</w:t>
      </w:r>
      <w:r w:rsidRPr="00573315">
        <w:rPr>
          <w:rFonts w:ascii="Verdana" w:hAnsi="Verdana" w:cs="Arial"/>
          <w:sz w:val="20"/>
          <w:szCs w:val="20"/>
        </w:rPr>
        <w:t>. Compete à administração buscar o menor dispêndio possível de recursos, assegurando 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5359F54D" w14:textId="77777777" w:rsidR="00F83CD8" w:rsidRPr="00573315" w:rsidRDefault="00F83CD8">
      <w:pPr>
        <w:rPr>
          <w:rFonts w:ascii="Verdana" w:hAnsi="Verdana" w:cs="Arial"/>
          <w:sz w:val="20"/>
          <w:u w:val="single"/>
        </w:rPr>
      </w:pPr>
    </w:p>
    <w:p w14:paraId="3D245E85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2. FUNDAMENTAÇÃO E DESCRIÇÃO DA NECESSIDADE DA CONTRATAÇÃO </w:t>
      </w:r>
    </w:p>
    <w:p w14:paraId="374ADC19" w14:textId="77777777" w:rsidR="00F83CD8" w:rsidRPr="00573315" w:rsidRDefault="00000000">
      <w:pPr>
        <w:pStyle w:val="PargrafodaLista"/>
        <w:widowControl w:val="0"/>
        <w:tabs>
          <w:tab w:val="left" w:pos="-2410"/>
          <w:tab w:val="left" w:pos="567"/>
        </w:tabs>
        <w:spacing w:after="0"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 w:cs="Arial"/>
          <w:sz w:val="20"/>
          <w:szCs w:val="20"/>
        </w:rPr>
        <w:t xml:space="preserve">2.1. </w:t>
      </w:r>
      <w:r w:rsidRPr="00573315">
        <w:rPr>
          <w:rFonts w:ascii="Verdana" w:hAnsi="Verdana" w:cs="Arial"/>
          <w:sz w:val="20"/>
          <w:szCs w:val="20"/>
          <w:lang w:eastAsia="zh-CN" w:bidi="hi-IN"/>
        </w:rPr>
        <w:t xml:space="preserve">A Fundamentação da Contratação e de seus quantitativos encontra-se pormenorizada em Tópico específico dos Estudos Técnicos Preliminares, apêndice deste Termo de Referência. </w:t>
      </w:r>
    </w:p>
    <w:p w14:paraId="4DEA855F" w14:textId="77777777" w:rsidR="00F83CD8" w:rsidRPr="00573315" w:rsidRDefault="00F83CD8">
      <w:pPr>
        <w:contextualSpacing/>
        <w:jc w:val="both"/>
        <w:rPr>
          <w:rFonts w:ascii="Verdana" w:eastAsia="Calibri" w:hAnsi="Verdana" w:cs="Arial"/>
          <w:sz w:val="20"/>
          <w:lang w:eastAsia="zh-CN"/>
        </w:rPr>
      </w:pPr>
    </w:p>
    <w:p w14:paraId="390B62A2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3. DESCRIÇÃO DA SOLUÇÃO COMO UM TODO CONSIDERADO O CICLO DE VIDA DO OBJETO E ESPECIFICAÇÃO DO PRODUTO </w:t>
      </w:r>
    </w:p>
    <w:p w14:paraId="04D3A18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3.1 A descrição da solução como um todo encontra-se pormenorizada em tópico específico dos Estudos Técnicos Preliminares, apêndice deste Termo de Referência.</w:t>
      </w:r>
    </w:p>
    <w:p w14:paraId="45E8156D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738AD395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4. REQUISITOS DA CONTRATAÇÃO </w:t>
      </w:r>
    </w:p>
    <w:p w14:paraId="2FE3E4EE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 xml:space="preserve">4.1. Na </w:t>
      </w:r>
      <w:r w:rsidRPr="00573315">
        <w:rPr>
          <w:rFonts w:ascii="Verdana" w:hAnsi="Verdana" w:cs="Arial"/>
          <w:sz w:val="20"/>
          <w:lang w:eastAsia="zh-CN"/>
        </w:rPr>
        <w:t>entrega dos veículos</w:t>
      </w:r>
      <w:r w:rsidRPr="00573315">
        <w:rPr>
          <w:rFonts w:ascii="Verdana" w:hAnsi="Verdana" w:cs="Arial"/>
          <w:sz w:val="20"/>
        </w:rPr>
        <w:t>, a CONTRATADA deve:</w:t>
      </w:r>
    </w:p>
    <w:p w14:paraId="54D24438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 xml:space="preserve">a) </w:t>
      </w:r>
      <w:r w:rsidRPr="00573315">
        <w:rPr>
          <w:rFonts w:ascii="Verdana" w:hAnsi="Verdana" w:cs="Arial"/>
          <w:sz w:val="20"/>
          <w:lang w:eastAsia="zh-CN"/>
        </w:rPr>
        <w:t xml:space="preserve">Se submeter às regras do edital de licitação, apresentando toda a documentação exigida pelo órgão público competente; </w:t>
      </w:r>
    </w:p>
    <w:p w14:paraId="218FF64E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  <w:lang w:eastAsia="zh-CN"/>
        </w:rPr>
        <w:t xml:space="preserve">b) Estar em dia com as obrigações fiscais da empresa; </w:t>
      </w:r>
    </w:p>
    <w:p w14:paraId="2AE8DFA2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  <w:lang w:eastAsia="zh-CN"/>
        </w:rPr>
        <w:t>c) Os produtos disponibilizados precisam atender aos padrões de qualidade exigidos pela legislação vigente;</w:t>
      </w:r>
    </w:p>
    <w:p w14:paraId="42D826C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d) A empresa fornecedora deve seguir práticas sustentáveis, como a reciclagem das embalagens, contribuindo para a preservação do meio ambiente.</w:t>
      </w:r>
    </w:p>
    <w:p w14:paraId="7953E9A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 xml:space="preserve">e) Fornecer os itens </w:t>
      </w:r>
      <w:r w:rsidRPr="00573315">
        <w:rPr>
          <w:rFonts w:ascii="Verdana" w:eastAsia="Arial" w:hAnsi="Verdana" w:cs="Arial"/>
          <w:sz w:val="20"/>
          <w:lang w:eastAsia="zh-CN"/>
        </w:rPr>
        <w:t xml:space="preserve">em perfeito estado de uso e consumo com </w:t>
      </w:r>
      <w:r w:rsidRPr="00573315">
        <w:rPr>
          <w:rFonts w:ascii="Verdana" w:eastAsia="Arial" w:hAnsi="Verdana" w:cs="Arial"/>
          <w:sz w:val="20"/>
        </w:rPr>
        <w:t xml:space="preserve">qualidade </w:t>
      </w:r>
      <w:r w:rsidRPr="00573315">
        <w:rPr>
          <w:rFonts w:ascii="Verdana" w:eastAsia="Arial" w:hAnsi="Verdana" w:cs="Arial"/>
          <w:sz w:val="20"/>
          <w:lang w:eastAsia="zh-CN"/>
        </w:rPr>
        <w:t>preservada</w:t>
      </w:r>
      <w:r w:rsidRPr="00573315">
        <w:rPr>
          <w:rFonts w:ascii="Verdana" w:eastAsia="Arial" w:hAnsi="Verdana" w:cs="Arial"/>
          <w:sz w:val="20"/>
        </w:rPr>
        <w:t>;</w:t>
      </w:r>
    </w:p>
    <w:p w14:paraId="2338355E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lastRenderedPageBreak/>
        <w:t xml:space="preserve">f) responsabilizar-se pela de entrega no local determinado </w:t>
      </w:r>
      <w:r w:rsidRPr="00573315">
        <w:rPr>
          <w:rFonts w:ascii="Verdana" w:eastAsia="Arial" w:hAnsi="Verdana" w:cs="Arial"/>
          <w:sz w:val="20"/>
          <w:lang w:eastAsia="zh-CN" w:bidi="hi-IN"/>
        </w:rPr>
        <w:t>no item 02</w:t>
      </w:r>
      <w:r w:rsidRPr="00573315">
        <w:rPr>
          <w:rFonts w:ascii="Verdana" w:eastAsia="Arial" w:hAnsi="Verdana" w:cs="Arial"/>
          <w:sz w:val="20"/>
        </w:rPr>
        <w:t>;</w:t>
      </w:r>
    </w:p>
    <w:p w14:paraId="3E640E85" w14:textId="77777777" w:rsidR="00F83CD8" w:rsidRPr="00573315" w:rsidRDefault="00F83CD8">
      <w:pPr>
        <w:jc w:val="both"/>
        <w:rPr>
          <w:rFonts w:ascii="Verdana" w:eastAsia="Arial" w:hAnsi="Verdana" w:cs="Arial"/>
          <w:sz w:val="20"/>
        </w:rPr>
      </w:pPr>
    </w:p>
    <w:p w14:paraId="1F8DE713" w14:textId="77777777" w:rsidR="00F83CD8" w:rsidRPr="00573315" w:rsidRDefault="00F83CD8">
      <w:pPr>
        <w:jc w:val="both"/>
        <w:rPr>
          <w:rFonts w:ascii="Verdana" w:eastAsia="Arial" w:hAnsi="Verdana" w:cs="Arial"/>
          <w:sz w:val="20"/>
        </w:rPr>
      </w:pPr>
    </w:p>
    <w:p w14:paraId="21E686D1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b/>
          <w:bCs/>
          <w:sz w:val="20"/>
        </w:rPr>
        <w:tab/>
        <w:t>4.2. Todos os veículos deverão:</w:t>
      </w:r>
    </w:p>
    <w:p w14:paraId="23CEBB4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Adotar práticas que reduzam a poluição e minimize o desperdício de recursos, quando couber, em cumprimento ao disposto no art. 6° da Instrução Normativa SLTI/MPOG n°1, de 19/01/2010, publicada no DOU de20/01/2010;</w:t>
      </w:r>
    </w:p>
    <w:p w14:paraId="4CF31A8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Ser equipados com os itens de segurança exigidos por lei;</w:t>
      </w:r>
    </w:p>
    <w:p w14:paraId="254CE244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Estar de acordo com as normas técnicas da ABNT, bem como as homologadas pelo PROCON /IBAMA; </w:t>
      </w:r>
    </w:p>
    <w:p w14:paraId="119119E8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Os veículos devem estar acompanhado do manual do usuário, com uma versão em português e da relação da rede de assistência técnica autorizada;</w:t>
      </w:r>
    </w:p>
    <w:p w14:paraId="069B8C8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A contratada deve responsabilizar-se pelos vícios e danos decorrentes do objeto, de acordo com os artigos 12, 13 e 17 a 27, do Código de Defesa do Consumidor (Lei nº 8.078, de 1990);</w:t>
      </w:r>
    </w:p>
    <w:p w14:paraId="186B208A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60CC0D8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b/>
          <w:bCs/>
          <w:sz w:val="20"/>
        </w:rPr>
        <w:tab/>
        <w:t>4.3. Da Garantia</w:t>
      </w:r>
    </w:p>
    <w:p w14:paraId="0F2F9AC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O prazo de garantia mínima para o motor e câmbio, complementar à garantia legal, será de, no mínimo 36 (trinta e seis) meses, ou pelo prazo fornecido pelo fabricante, se superior, para os veículos do tipo sedan e vans, contado a partir do primeiro dia útil subsequente à data do recebimento definitivo.</w:t>
      </w:r>
    </w:p>
    <w:p w14:paraId="3051C0FA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- 12 (doze) meses, ou pelo prazo fornecido pelo fabricante, se superior, para os veículos do tipo Micro-Ônibus rodoviário, contado a partir do primeiro dia útil subsequente à data do recebimento definitivo.</w:t>
      </w:r>
    </w:p>
    <w:p w14:paraId="4B64F3E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Para as demais peças genuínas e de reposição originais e outros componentes, a garantia será a legal, prevista no Código de Defesa do Consumidor acrescida da garantia complementar do fabricante dos veículos, quando for o caso, com exceção dos itens de desgaste natural (pastilhas de freio, filtros, óleo do motor, etc.).</w:t>
      </w:r>
    </w:p>
    <w:p w14:paraId="7AED26B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Caso o prazo da garantia oferecida pelo fabricante seja inferior ao estabelecido nesta cláusula, o fornecedor deverá complementar a garantia do bem ofertado pelo período restante.</w:t>
      </w:r>
    </w:p>
    <w:p w14:paraId="76F3908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A garantia será prestada com vistas a manter os equipamentos fornecidos em perfeitas condições de uso, sem qualquer ônus ou custo adicional para o Contratante.  </w:t>
      </w:r>
    </w:p>
    <w:p w14:paraId="78FD491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A garantia abrange a realização da manutenção corretiva dos bens pelo próprio Contratado ou, se for o caso, por meio de assistência técnica autorizada, de acordo com as normas técnicas específicas. </w:t>
      </w:r>
    </w:p>
    <w:p w14:paraId="27EAB9E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Entende-se por manutenção corretiva aquela destinada a corrigir os defeitos apresentados pelos bens, compreendendo a substituição de peças, a realização de ajustes, reparos e correções necessárias.</w:t>
      </w:r>
    </w:p>
    <w:p w14:paraId="72EB6B3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As peças que apresentarem vício ou defeito no período de vigência da garantia deverão ser substituídas por outras novas, de primeiro uso, e originais, que apresentem padrões de qualidade e desempenho iguais ou superiores aos das peças utilizadas na fabricação do equipamento.</w:t>
      </w:r>
    </w:p>
    <w:p w14:paraId="4C7D5767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Uma vez notificado, o Contratado realizará a reparação ou substituição dos bens que apresentarem vício ou defeito no prazo de até 5 (cinco) dias úteis, contados a partir da data de retirada do equipamento das dependências da Administração pelo Contratado ou pela assistência técnica autorizada. </w:t>
      </w:r>
    </w:p>
    <w:p w14:paraId="7F8EE142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O prazo indicado no subitem anterior, durante seu transcurso, poderá ser prorrogado uma única vez, por igual período, mediante solicitação escrita e justificada do Contratado, aceita pelo Contratante.</w:t>
      </w:r>
    </w:p>
    <w:p w14:paraId="27648ED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Na hipótese do subitem acima, o Contratado deverá disponibilizar equipamento equivalente, de especificação igual ou superior ao anteriormente fornecido, para utilização em caráter provisório pelo Contratante, de modo a garantir a continuidade dos trabalhos administrativos durante a execução dos reparos.</w:t>
      </w:r>
    </w:p>
    <w:p w14:paraId="57C7F337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 xml:space="preserve">- Decorrido o prazo para reparos e substituições sem o atendimento da solicitação do Contratante ou a apresentação de justificativas pelo Contratado, fica o Contratante autorizado a contratar empresa diversa para executar os reparos, ajustes ou a substituição </w:t>
      </w:r>
      <w:r w:rsidRPr="00573315">
        <w:rPr>
          <w:rFonts w:ascii="Verdana" w:eastAsia="Arial" w:hAnsi="Verdana" w:cs="Arial"/>
          <w:sz w:val="20"/>
        </w:rPr>
        <w:lastRenderedPageBreak/>
        <w:t>do bem ou de seus componentes, bem como a exigir do Contratado o reembolso pelos custos respectivos, sem que tal fato acarrete a perda da garantia dos equipamentos.</w:t>
      </w:r>
    </w:p>
    <w:p w14:paraId="2CCA788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- O custo referente ao transporte dos equipamentos cobertos pela garantia será de responsabilidade do Contratado.</w:t>
      </w:r>
    </w:p>
    <w:p w14:paraId="6E7E639A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 xml:space="preserve">- A garantia legal ou contratual do objeto tem prazo de vigência próprio e desvinculado daquele fixado no contrato, permitindo eventual aplicação de penalidades em caso de descumprimento de alguma de suas condições, mesmo depois de expirada a vigência contratual. </w:t>
      </w:r>
    </w:p>
    <w:p w14:paraId="01BFEA42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3A8A9B40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ab/>
      </w:r>
      <w:r w:rsidRPr="00573315">
        <w:rPr>
          <w:rFonts w:ascii="Verdana" w:hAnsi="Verdana"/>
          <w:b/>
          <w:bCs/>
          <w:sz w:val="20"/>
        </w:rPr>
        <w:t>4.4. Da qualificação técnica.</w:t>
      </w:r>
    </w:p>
    <w:p w14:paraId="7272C5B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4.2.1. </w:t>
      </w:r>
      <w:r w:rsidRPr="00573315">
        <w:rPr>
          <w:rFonts w:ascii="Verdana" w:hAnsi="Verdana"/>
          <w:sz w:val="20"/>
          <w:lang w:eastAsia="zh-CN"/>
        </w:rPr>
        <w:t xml:space="preserve">A empresa fornecedora deve ter suas atividades correspondentes ao objeto da aquisição. </w:t>
      </w:r>
    </w:p>
    <w:p w14:paraId="3817B15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eastAsia="Arial" w:hAnsi="Verdana" w:cs="Arial"/>
          <w:sz w:val="20"/>
        </w:rPr>
        <w:t>4.2.2. Registro da pessoa jurídica (CONTRATADA) nos órgãos competentes e Conselho Regional da classe, se for o caso.</w:t>
      </w:r>
    </w:p>
    <w:p w14:paraId="7FFAD807" w14:textId="77777777" w:rsidR="00F83CD8" w:rsidRPr="00573315" w:rsidRDefault="00F83CD8">
      <w:pPr>
        <w:jc w:val="both"/>
        <w:rPr>
          <w:rFonts w:ascii="Verdana" w:eastAsia="Arial" w:hAnsi="Verdana" w:cs="Arial"/>
          <w:sz w:val="20"/>
        </w:rPr>
      </w:pPr>
    </w:p>
    <w:p w14:paraId="553E6FB1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 xml:space="preserve">5. MODELO DE EXECUÇÃO CONTRATUAL </w:t>
      </w:r>
    </w:p>
    <w:p w14:paraId="574FA98C" w14:textId="77777777" w:rsidR="00F83CD8" w:rsidRPr="00573315" w:rsidRDefault="00000000">
      <w:pPr>
        <w:pStyle w:val="PargrafodaLista"/>
        <w:tabs>
          <w:tab w:val="left" w:pos="0"/>
          <w:tab w:val="left" w:pos="450"/>
        </w:tabs>
        <w:spacing w:line="240" w:lineRule="auto"/>
        <w:ind w:left="-57" w:firstLine="57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 w:cs="Times New Roman"/>
          <w:iCs/>
          <w:sz w:val="20"/>
          <w:szCs w:val="20"/>
        </w:rPr>
        <w:t>5.1.</w:t>
      </w:r>
      <w:r w:rsidRPr="00573315">
        <w:rPr>
          <w:rFonts w:ascii="Verdana" w:hAnsi="Verdana" w:cs="Times New Roman"/>
          <w:bCs/>
          <w:iCs/>
          <w:sz w:val="20"/>
          <w:szCs w:val="20"/>
        </w:rPr>
        <w:t xml:space="preserve"> O prazo </w:t>
      </w:r>
      <w:r w:rsidRPr="00573315">
        <w:rPr>
          <w:rFonts w:ascii="Verdana" w:eastAsia="Times New Roman" w:hAnsi="Verdana" w:cs="Times New Roman"/>
          <w:bCs/>
          <w:iCs/>
          <w:sz w:val="20"/>
          <w:szCs w:val="20"/>
        </w:rPr>
        <w:t>de entrega do objeto</w:t>
      </w:r>
      <w:r w:rsidRPr="00573315">
        <w:rPr>
          <w:rFonts w:ascii="Verdana" w:hAnsi="Verdana" w:cs="Times New Roman"/>
          <w:bCs/>
          <w:iCs/>
          <w:sz w:val="20"/>
          <w:szCs w:val="20"/>
        </w:rPr>
        <w:t xml:space="preserve"> será estipulado em </w:t>
      </w:r>
      <w:r w:rsidRPr="00573315">
        <w:rPr>
          <w:rFonts w:ascii="Verdana" w:hAnsi="Verdana" w:cs="Arial"/>
          <w:iCs/>
          <w:sz w:val="20"/>
          <w:szCs w:val="20"/>
        </w:rPr>
        <w:t xml:space="preserve">por meio de entrega única </w:t>
      </w:r>
      <w:r w:rsidRPr="00573315">
        <w:rPr>
          <w:rFonts w:ascii="Verdana" w:eastAsia="Times New Roman" w:hAnsi="Verdana" w:cs="Arial"/>
          <w:iCs/>
          <w:sz w:val="20"/>
          <w:szCs w:val="20"/>
          <w:lang w:eastAsia="zh-CN"/>
        </w:rPr>
        <w:t>do</w:t>
      </w:r>
      <w:r w:rsidRPr="00573315">
        <w:rPr>
          <w:rFonts w:ascii="Verdana" w:hAnsi="Verdana" w:cs="Arial"/>
          <w:iCs/>
          <w:sz w:val="20"/>
          <w:szCs w:val="20"/>
        </w:rPr>
        <w:t xml:space="preserve"> item, sendo necessária a emissão de autorização de fornecimento </w:t>
      </w:r>
      <w:r w:rsidRPr="00573315">
        <w:rPr>
          <w:rFonts w:ascii="Verdana" w:eastAsia="Times New Roman" w:hAnsi="Verdana" w:cs="Arial"/>
          <w:iCs/>
          <w:sz w:val="20"/>
          <w:szCs w:val="20"/>
          <w:lang w:eastAsia="zh-CN"/>
        </w:rPr>
        <w:t xml:space="preserve">dos itens concedendo o prazo de até 30 (trinta) dias corridos para a entrega, dispensada a formalização de contrato, sendo este substituído pela emissão da nota de empenho </w:t>
      </w:r>
      <w:r w:rsidRPr="00573315">
        <w:rPr>
          <w:rFonts w:ascii="Verdana" w:eastAsia="Times New Roman" w:hAnsi="Verdana" w:cs="Times New Roman"/>
          <w:bCs/>
          <w:iCs/>
          <w:sz w:val="20"/>
          <w:szCs w:val="20"/>
          <w:lang w:eastAsia="zh-CN"/>
        </w:rPr>
        <w:t>.</w:t>
      </w:r>
    </w:p>
    <w:p w14:paraId="26284E4E" w14:textId="77777777" w:rsidR="00F83CD8" w:rsidRPr="00573315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5.2. O objeto deverá ser entregue no seguinte endereço:</w:t>
      </w:r>
    </w:p>
    <w:p w14:paraId="7350D622" w14:textId="77777777" w:rsidR="00F83CD8" w:rsidRPr="00573315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- Departamento de Almoxarifado Central da Prefeitura Municipal de São Gabriel da Palha.</w:t>
      </w:r>
    </w:p>
    <w:p w14:paraId="7F33C158" w14:textId="77777777" w:rsidR="00F83CD8" w:rsidRPr="00573315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 - Praça Vicente Glazar, 159, Bairro Glória.</w:t>
      </w:r>
    </w:p>
    <w:p w14:paraId="7F8D5BDA" w14:textId="77777777" w:rsidR="00F83CD8" w:rsidRPr="00573315" w:rsidRDefault="00000000">
      <w:pPr>
        <w:tabs>
          <w:tab w:val="left" w:pos="0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 - São Gabriel da Palha – ES, Cep .29.780-000.</w:t>
      </w:r>
    </w:p>
    <w:p w14:paraId="6D09C961" w14:textId="77777777" w:rsidR="00F83CD8" w:rsidRPr="00573315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 - Telefone de contato: (27) ) 99975-6571</w:t>
      </w:r>
    </w:p>
    <w:p w14:paraId="2B7F92F0" w14:textId="77777777" w:rsidR="00F83CD8" w:rsidRPr="00573315" w:rsidRDefault="00000000">
      <w:pPr>
        <w:tabs>
          <w:tab w:val="left" w:pos="508"/>
        </w:tabs>
        <w:ind w:left="20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 - E-mail: assistenciassgp@gmail.com</w:t>
      </w:r>
    </w:p>
    <w:p w14:paraId="5834CF09" w14:textId="77777777" w:rsidR="00F83CD8" w:rsidRPr="00573315" w:rsidRDefault="00000000">
      <w:pPr>
        <w:tabs>
          <w:tab w:val="left" w:pos="508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 xml:space="preserve"> - Responsável: Secretaria Municipal de Assistência, Desenvolvimento Social e Família.</w:t>
      </w:r>
    </w:p>
    <w:p w14:paraId="7CF781E7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iCs/>
          <w:color w:val="auto"/>
          <w:sz w:val="20"/>
          <w:szCs w:val="20"/>
        </w:rPr>
        <w:t>5.3</w:t>
      </w:r>
      <w:r w:rsidRPr="00573315">
        <w:rPr>
          <w:rFonts w:ascii="Verdana" w:hAnsi="Verdana" w:cs="Times New Roman"/>
          <w:b/>
          <w:bCs/>
          <w:iCs/>
          <w:color w:val="auto"/>
          <w:sz w:val="20"/>
          <w:szCs w:val="20"/>
        </w:rPr>
        <w:t xml:space="preserve">. </w:t>
      </w:r>
      <w:r w:rsidRPr="00573315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Caso não seja possível a entrega na data assinalada, a empresa deverá comunicar as razões respectivas com pelo menos 02 (dois) dias de antecedência para que qualquer pleito de prorrogação de prazo seja analisado, ressalvadas situações de caso fortuito e </w:t>
      </w:r>
      <w:r w:rsidRPr="00573315">
        <w:rPr>
          <w:rFonts w:ascii="Verdana" w:hAnsi="Verdana" w:cs="Times New Roman"/>
          <w:iCs/>
          <w:color w:val="auto"/>
          <w:sz w:val="20"/>
          <w:szCs w:val="20"/>
        </w:rPr>
        <w:t>força</w:t>
      </w:r>
      <w:r w:rsidRPr="00573315">
        <w:rPr>
          <w:rFonts w:ascii="Verdana" w:hAnsi="Verdana" w:cs="Times New Roman"/>
          <w:bCs/>
          <w:iCs/>
          <w:color w:val="auto"/>
          <w:sz w:val="20"/>
          <w:szCs w:val="20"/>
        </w:rPr>
        <w:t xml:space="preserve"> maior.</w:t>
      </w:r>
    </w:p>
    <w:p w14:paraId="3E3F81DD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>5.4.</w:t>
      </w: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 O item será recebido pelo(a) responsável  do Almoxarifado Central juntamente com um servidor da Secretaria requisitante para acompanhamento e fiscalização e posterior verificação de sua conformidade com as especificações constantes neste Termo de Referência e na proposta.</w:t>
      </w:r>
    </w:p>
    <w:p w14:paraId="2565DA5F" w14:textId="77777777" w:rsidR="00F83CD8" w:rsidRPr="00573315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sz w:val="20"/>
          <w:szCs w:val="20"/>
        </w:rPr>
        <w:t xml:space="preserve">5.5. A conferência </w:t>
      </w:r>
      <w:r w:rsidRPr="00573315">
        <w:rPr>
          <w:rFonts w:ascii="Verdana" w:eastAsia="Times New Roman" w:hAnsi="Verdana" w:cs="Times New Roman"/>
          <w:sz w:val="20"/>
          <w:szCs w:val="20"/>
        </w:rPr>
        <w:t>dos itens</w:t>
      </w:r>
      <w:r w:rsidRPr="00573315">
        <w:rPr>
          <w:rFonts w:ascii="Verdana" w:hAnsi="Verdana"/>
          <w:sz w:val="20"/>
          <w:szCs w:val="20"/>
        </w:rPr>
        <w:t xml:space="preserve"> deverá ser acompanhada por um servidor </w:t>
      </w:r>
      <w:r w:rsidRPr="00573315">
        <w:rPr>
          <w:rFonts w:ascii="Verdana" w:eastAsia="Times New Roman" w:hAnsi="Verdana" w:cs="Times New Roman"/>
          <w:sz w:val="20"/>
          <w:szCs w:val="20"/>
        </w:rPr>
        <w:t>da secretaria requisitante</w:t>
      </w:r>
      <w:r w:rsidRPr="00573315">
        <w:rPr>
          <w:rFonts w:ascii="Verdana" w:hAnsi="Verdana"/>
          <w:sz w:val="20"/>
          <w:szCs w:val="20"/>
        </w:rPr>
        <w:t>, a fim de zelar pela qualidade e quantidade dos itens a serem adquiridos.</w:t>
      </w:r>
    </w:p>
    <w:p w14:paraId="4F77353E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>5.6.</w:t>
      </w:r>
      <w:r w:rsidRPr="00573315">
        <w:rPr>
          <w:rFonts w:ascii="Verdana" w:hAnsi="Verdana" w:cs="Times New Roman"/>
          <w:bCs/>
          <w:color w:val="auto"/>
          <w:sz w:val="20"/>
          <w:szCs w:val="20"/>
        </w:rPr>
        <w:t xml:space="preserve"> O item poderá ser rejeitado, no todo ou em parte, quando em desacordo com as especificações constantes no ETP, neste Termo de Referência e na respectiva Autorização de Fornecimento, devendo ser substituído imediatamente, no momento da constatação pelo demandante,  às suas custas.</w:t>
      </w:r>
    </w:p>
    <w:p w14:paraId="2B427759" w14:textId="77777777" w:rsidR="00F83CD8" w:rsidRPr="00573315" w:rsidRDefault="00000000">
      <w:pPr>
        <w:pStyle w:val="PargrafodaLista"/>
        <w:spacing w:line="240" w:lineRule="auto"/>
        <w:ind w:left="0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sz w:val="20"/>
          <w:szCs w:val="20"/>
        </w:rPr>
        <w:t>5.7.</w:t>
      </w:r>
      <w:r w:rsidRPr="00573315">
        <w:rPr>
          <w:rFonts w:ascii="Verdana" w:hAnsi="Verdana"/>
          <w:b/>
          <w:bCs/>
          <w:sz w:val="20"/>
          <w:szCs w:val="20"/>
        </w:rPr>
        <w:t xml:space="preserve"> </w:t>
      </w:r>
      <w:r w:rsidRPr="00573315">
        <w:rPr>
          <w:rFonts w:ascii="Verdana" w:hAnsi="Verdana"/>
          <w:sz w:val="20"/>
          <w:szCs w:val="20"/>
        </w:rPr>
        <w:t xml:space="preserve">O recebimento provisório ou definitivo não excluirá a responsabilidade </w:t>
      </w:r>
      <w:r w:rsidRPr="00573315">
        <w:rPr>
          <w:rFonts w:ascii="Verdana" w:eastAsia="Times New Roman" w:hAnsi="Verdana" w:cs="Times New Roman"/>
          <w:sz w:val="20"/>
          <w:szCs w:val="20"/>
        </w:rPr>
        <w:t>da contratada pelos prejuízos resultantes da incorreta execução do contrato.</w:t>
      </w:r>
    </w:p>
    <w:p w14:paraId="2FE9536C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iCs/>
          <w:color w:val="auto"/>
          <w:sz w:val="20"/>
          <w:szCs w:val="20"/>
        </w:rPr>
        <w:t>5.8. No caso de recusa da entrega do produto pelo fornecedor, a Administração Pública adotará as providências cabíveis, de cordo com a legislação aplicável, visando sanar problemas por ventura ocorridos.</w:t>
      </w:r>
    </w:p>
    <w:p w14:paraId="253211A8" w14:textId="77777777" w:rsidR="00F83CD8" w:rsidRPr="00573315" w:rsidRDefault="00F83CD8">
      <w:pPr>
        <w:pStyle w:val="Nivel2"/>
        <w:spacing w:before="0" w:after="0" w:line="240" w:lineRule="auto"/>
        <w:rPr>
          <w:rFonts w:ascii="Verdana" w:hAnsi="Verdana"/>
          <w:b/>
          <w:color w:val="auto"/>
          <w:sz w:val="20"/>
          <w:szCs w:val="20"/>
          <w:u w:val="single"/>
        </w:rPr>
      </w:pPr>
    </w:p>
    <w:p w14:paraId="0CDC0F15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 xml:space="preserve">6. MODELO DE GESTÃO DO CONTRATO </w:t>
      </w:r>
    </w:p>
    <w:p w14:paraId="713B632E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b/>
          <w:bCs/>
          <w:sz w:val="20"/>
        </w:rPr>
        <w:t>6.1. ROTINAS DE FISCALIZAÇÃO CONTRATUAL</w:t>
      </w:r>
    </w:p>
    <w:p w14:paraId="0E58D1A7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/>
          <w:color w:val="auto"/>
          <w:sz w:val="20"/>
          <w:szCs w:val="20"/>
        </w:rPr>
        <w:t xml:space="preserve">6.1.1. Haverá celebração de contrato, </w:t>
      </w:r>
      <w:r w:rsidRPr="00573315">
        <w:rPr>
          <w:rFonts w:ascii="Verdana" w:hAnsi="Verdana" w:cs="Times New Roman"/>
          <w:color w:val="auto"/>
          <w:sz w:val="20"/>
          <w:szCs w:val="20"/>
        </w:rPr>
        <w:t>nota de empenho e autorização de fornecimento/execução.</w:t>
      </w:r>
    </w:p>
    <w:p w14:paraId="006FA38D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6.1.2. A entrega do item deverá ser acompanhada por um servidor da secretaria requisitante, a fim de zelar pela qualidade e quantidade dos itens a serem adquiridos.</w:t>
      </w:r>
    </w:p>
    <w:p w14:paraId="55E20E52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6.1.3. O contratado será obrigado a reparar, corrigir, remover, reconstruir ou substituir, a suas expensas, no total ou em parte, o objeto da aquisição em que se verificarem vícios, defeitos ou incorreções resultantes de sua execução ou de materiais nela empregados.</w:t>
      </w:r>
    </w:p>
    <w:p w14:paraId="5C4C3F2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lastRenderedPageBreak/>
        <w:t>6.1.4. Somente o contratado será responsável pelos encargos trabalhistas, previdenciários, fiscais e comerciais resultantes da execução dos serviços.</w:t>
      </w:r>
    </w:p>
    <w:p w14:paraId="7420690D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6.1.5. A inadimplência do contratado em relação aos encargos trabalhistas, fiscais e comerciais não transferirá à Administração a responsabilidade pelo seu pagamento e não poderá onerar o objeto do contrato.</w:t>
      </w:r>
    </w:p>
    <w:p w14:paraId="1A6B1169" w14:textId="77777777" w:rsidR="00F83CD8" w:rsidRPr="00573315" w:rsidRDefault="00000000">
      <w:pPr>
        <w:pStyle w:val="Nivel2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>6.1.6. Será exigido a inscrição no Cadastro Nacional de Pessoa Jurídica (CNPJ), a Certidão Negativa de Débito (CND) relativa, à Créditos Tributários Federais e à Dívida Ativa da União, o Certificado de Regularidade do FGTS (CRF), à Certidão Negativa de Débitos Trabalhistas (CNDT) e de regularidade junto a Fazenda  Municipal do domicílio ou sede do licitante ou outra equivalente na forma da Lei que deverão ser validadas pela secretaria requerente ou fiscal de contrato.</w:t>
      </w:r>
    </w:p>
    <w:p w14:paraId="18879C06" w14:textId="77777777" w:rsidR="00F83CD8" w:rsidRPr="00573315" w:rsidRDefault="00F83CD8">
      <w:pPr>
        <w:pStyle w:val="Nivel2"/>
        <w:spacing w:before="0" w:after="0" w:line="240" w:lineRule="auto"/>
        <w:rPr>
          <w:rFonts w:ascii="Verdana" w:hAnsi="Verdana" w:cs="Times New Roman"/>
          <w:iCs/>
          <w:color w:val="auto"/>
          <w:sz w:val="20"/>
          <w:szCs w:val="20"/>
        </w:rPr>
      </w:pPr>
    </w:p>
    <w:p w14:paraId="25795278" w14:textId="77777777" w:rsidR="00F83CD8" w:rsidRPr="00573315" w:rsidRDefault="00000000">
      <w:pPr>
        <w:pStyle w:val="Nivel1"/>
        <w:spacing w:before="0" w:after="0" w:line="240" w:lineRule="auto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iCs/>
          <w:color w:val="auto"/>
          <w:sz w:val="20"/>
          <w:szCs w:val="20"/>
        </w:rPr>
        <w:t xml:space="preserve">7. FORMA E CRITÉRIOS DE SELEÇÃO DO FORNECEDOR </w:t>
      </w:r>
    </w:p>
    <w:p w14:paraId="3A5D9997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7.1. O fornecedor será selecionado por meio da realização de procedimento de licitação, com fundamento na hipótese do art. 75, inciso II, da Lei n.º 14.133/2021 </w:t>
      </w:r>
      <w:r w:rsidRPr="00573315">
        <w:rPr>
          <w:rFonts w:ascii="Verdana" w:hAnsi="Verdana"/>
          <w:iCs/>
          <w:sz w:val="20"/>
        </w:rPr>
        <w:t>que culminará com a seleção da proposta de menor preço por item.</w:t>
      </w:r>
    </w:p>
    <w:p w14:paraId="33DA0116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4D686A8E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b/>
          <w:bCs/>
          <w:iCs/>
          <w:sz w:val="20"/>
        </w:rPr>
        <w:t>8. DAS SANÇÕES</w:t>
      </w:r>
    </w:p>
    <w:p w14:paraId="39CCA0F4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 Comete infração administrativa o fornecedor/prestador de serviço que cometer quaisquer das infrações previstas no art. 155 da Lei nº 14.133, de 2021, quais sejam:</w:t>
      </w:r>
    </w:p>
    <w:p w14:paraId="7A47828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8.1.1. Dar causa à inexecução parcial do contrato.</w:t>
      </w:r>
    </w:p>
    <w:p w14:paraId="2467B011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8.1.2. Dar causa à inexecução parcial que cause grave dano à Administração, ao funcionamento dos serviços públicos ou ao interesse coletivo.</w:t>
      </w:r>
    </w:p>
    <w:p w14:paraId="38DA3E0A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8.1.3. Dar causa à inexecução total;</w:t>
      </w:r>
    </w:p>
    <w:p w14:paraId="278AD28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8.1.4. Deixar de entregar a documentação exigida para o certame.</w:t>
      </w:r>
    </w:p>
    <w:p w14:paraId="13BAAD01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8.1.5. Não manter a proposta, salvo em decorrência de fato superveniente devidamente justificado.</w:t>
      </w:r>
    </w:p>
    <w:p w14:paraId="7B8BC8CA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 xml:space="preserve">8.1.6. Não celebrar o contrato ou não entregar a documentação exigida para a contratação, quando convocado dentro do prazo de validade de sua proposta. </w:t>
      </w:r>
    </w:p>
    <w:p w14:paraId="3CA2EDE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8.1.7. Ensejar o retardamento da execução ou da entrega do objeto sem motivo justificado,</w:t>
      </w:r>
    </w:p>
    <w:p w14:paraId="518CE4B9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8.1.8. Apresentar declaração ou documentação falsa exigida para o certame ou prestar declaração falsa durante a dispensa/licitação eletrônica ou a execução do objeto.</w:t>
      </w:r>
    </w:p>
    <w:p w14:paraId="252F5D1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8.1.9. Fraudar a dispensa/licitação eletrônica ou praticar ato fraudulento na execução do objeto.</w:t>
      </w:r>
    </w:p>
    <w:p w14:paraId="2512BA3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8.1.10. Comportar-se de modo inidôneo ou cometer fraude de qualquer natureza.</w:t>
      </w:r>
    </w:p>
    <w:p w14:paraId="5A7F4DD6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8.1.10.1. Considera-se comportamento inidôneo, entre outros, a declaração falsa quanto às condições de participação, quanto ao enquadramento como ME/EPP ou o conluio entre os fornecedores, em qualquer momento da dispensa/licitação, mesmo após o encerramento da fase de lances.</w:t>
      </w:r>
    </w:p>
    <w:p w14:paraId="60D9F3DD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8.1.11. Praticar atos ilícitos com vistas a frustrar os objetivos deste certame.</w:t>
      </w:r>
    </w:p>
    <w:p w14:paraId="246D5F6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8.1.12. Praticar ato lesivo previsto no art. 5º da Lei nº 12.846, de 1º de agosto de 2013.</w:t>
      </w:r>
    </w:p>
    <w:p w14:paraId="12F2688F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8.2. O fornecedor que cometer qualquer das infrações discriminadas nos subitens anteriores ficará sujeito, sem prejuízo da responsabilidade civil e criminal, às seguintes sanções:</w:t>
      </w:r>
    </w:p>
    <w:p w14:paraId="78A203DF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a) Advertência pela falta do subitem 8.1.1 deste Termo de Referência, quando não se justificar a imposição de penalidade mais grave.</w:t>
      </w:r>
    </w:p>
    <w:p w14:paraId="7A7B7E9D" w14:textId="77777777" w:rsidR="00F83CD8" w:rsidRPr="00573315" w:rsidRDefault="00000000">
      <w:pPr>
        <w:ind w:left="-57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 xml:space="preserve">b) Multa, calculada na forma do edital, com base no total do valor da contratação realizada de forma direta e será aplicada ao responsável por qualquer das infrações administrativas previstas no item 8.1 deste Termo de Referência, no percentual de 10% (dez por cento), na hipótese de cometimento das infrações previstas nos itens 8.1.1 a 8.1.7 e 20% (vinte por cento), se cometidas infrações previstas nos itens 8.1.8 a 8.1.12; </w:t>
      </w:r>
    </w:p>
    <w:p w14:paraId="6EB54FEF" w14:textId="77777777" w:rsidR="00F83CD8" w:rsidRPr="00573315" w:rsidRDefault="00000000">
      <w:pPr>
        <w:ind w:left="-57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b.1) O valor da multa poderá ser descontado das faturas devidas à CONTRATADA;</w:t>
      </w:r>
    </w:p>
    <w:p w14:paraId="3CC86A40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 xml:space="preserve">b.2) A multa pode ser aplicada isoladamente ou acompanhado de as penalidades definidas nos itens “c” e “d” abaixo: </w:t>
      </w:r>
    </w:p>
    <w:p w14:paraId="6FA0FEC6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c) Impedimento de licitar e contratar no âmbito da Administração Pública direta e indireta do ente federativo que tiver aplicado a sanção, pelo prazo máximo de 03 (três) anos, nos casos dos subitens 8.1.2 a 8.1.7 deste Termo de Referência, quando não se justificar a imposição de penalidade mais grave.</w:t>
      </w:r>
    </w:p>
    <w:p w14:paraId="0E5AF6D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lastRenderedPageBreak/>
        <w:t>d) Declaração de inidoneidade para licitar ou contratar, que impedirá o responsável de licitar ou contratar no âmbito da Administração Pública direta e indireta de todos os entes federativos, pelo prazo mínimo de 03 (três) anos e máximo de 06 (seis) anos, nos casos dos subitens 8.1.2 a 8.1.12, deste Termo de Referência.</w:t>
      </w:r>
    </w:p>
    <w:p w14:paraId="52BCEC06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 Na aplicação das sanções serão considerados:</w:t>
      </w:r>
    </w:p>
    <w:p w14:paraId="34B7926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8.3.1. A natureza e a gravidade da infração cometida.</w:t>
      </w:r>
    </w:p>
    <w:p w14:paraId="017916D3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8.3.2. As peculiaridades do caso concreto.</w:t>
      </w:r>
    </w:p>
    <w:p w14:paraId="1D6D4B1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8.3.3. As circunstâncias agravantes ou atenuantes.</w:t>
      </w:r>
    </w:p>
    <w:p w14:paraId="04E73C54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8.3.4. Os danos que dela provierem para a Administração Pública.</w:t>
      </w:r>
    </w:p>
    <w:p w14:paraId="3602289D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8.3.5. A implantação ou o aperfeiçoamento de programa de integridade, conforme normas e orientações dos órgãos de controle.</w:t>
      </w:r>
    </w:p>
    <w:p w14:paraId="0BDCD2D0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8.4. Se a multa aplicada e as indenizações cabíveis forem superiores ao valor de pagamento eventualmente devido pela Administração à CONTRATADA, além da perda desse valor, a diferença será descontada da garantia prestada ou será cobrada judicialmente.</w:t>
      </w:r>
    </w:p>
    <w:p w14:paraId="3190212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iCs/>
          <w:sz w:val="20"/>
        </w:rPr>
        <w:t>8.5. A aplicação de qualquer das penalidades previstas realizar-se-á em processo administrativo que assegurará o contraditório e a ampla defesa ao fornecedor/adjudicatário, observando-se o rito procedimental previsto no Capítulo I do Título IV da Lei 14.133/2021 – Das Infrações e Sanções Administrativas.</w:t>
      </w:r>
    </w:p>
    <w:p w14:paraId="015563E3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43E5B93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b/>
          <w:bCs/>
          <w:sz w:val="20"/>
        </w:rPr>
        <w:t>9. CRITÉRIOS DE PAGAMENTO</w:t>
      </w:r>
    </w:p>
    <w:p w14:paraId="5EFEF381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  <w:lang w:eastAsia="en-US"/>
        </w:rPr>
        <w:t>9.1</w:t>
      </w:r>
      <w:r w:rsidRPr="00573315">
        <w:rPr>
          <w:rFonts w:ascii="Verdana" w:hAnsi="Verdana"/>
          <w:b/>
          <w:bCs/>
          <w:sz w:val="20"/>
          <w:lang w:eastAsia="en-US"/>
        </w:rPr>
        <w:t>.</w:t>
      </w:r>
      <w:r w:rsidRPr="00573315">
        <w:rPr>
          <w:rFonts w:ascii="Verdana" w:hAnsi="Verdana"/>
          <w:sz w:val="20"/>
          <w:lang w:eastAsia="en-US"/>
        </w:rPr>
        <w:t xml:space="preserve"> Recebida a Nota Fiscal ou documento de cobrança equivalente, correrá o prazo de (30) trinta dias úteis para fins de liquidação, na forma desta seção, prorrogáveis por igual período.</w:t>
      </w:r>
    </w:p>
    <w:p w14:paraId="75D08B94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9.2. O prazo de que trata o item anterior será reduzido à metade, mantendo-se a possibilidade de prorrogação, no caso de contratações decorrentes de despesas cujos valores não ultrapassem o limite de que trata o </w:t>
      </w:r>
      <w:hyperlink r:id="rId7" w:anchor="art75" w:history="1">
        <w:r w:rsidRPr="00573315">
          <w:rPr>
            <w:rFonts w:ascii="Verdana" w:hAnsi="Verdana"/>
            <w:sz w:val="20"/>
          </w:rPr>
          <w:t xml:space="preserve">inciso II do art. 75 da Lei nº 14.133, de </w:t>
        </w:r>
      </w:hyperlink>
      <w:r w:rsidRPr="00573315">
        <w:rPr>
          <w:rFonts w:ascii="Verdana" w:hAnsi="Verdana"/>
          <w:sz w:val="20"/>
        </w:rPr>
        <w:t>2021.</w:t>
      </w:r>
    </w:p>
    <w:p w14:paraId="5C87A64C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9.3. Para fins de liquidação, o setor competente deverá verificar se a nota fiscal ou instrumento de cobrança equivalente apresentado expressa os elementos necessários e essenciais do documento, tais como: </w:t>
      </w:r>
    </w:p>
    <w:p w14:paraId="5B03A36D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- O prazo de validade;</w:t>
      </w:r>
    </w:p>
    <w:p w14:paraId="35A16311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- A data da emissão; </w:t>
      </w:r>
    </w:p>
    <w:p w14:paraId="0B624E2F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- Os dados do contrato e do órgão contratante; </w:t>
      </w:r>
    </w:p>
    <w:p w14:paraId="555E0DBB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- O período respectivo de execução do contrato; </w:t>
      </w:r>
    </w:p>
    <w:p w14:paraId="1441A2AB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- O valor a pagar; e </w:t>
      </w:r>
    </w:p>
    <w:p w14:paraId="350A2488" w14:textId="77777777" w:rsidR="00F83CD8" w:rsidRPr="00573315" w:rsidRDefault="00000000">
      <w:pPr>
        <w:tabs>
          <w:tab w:val="left" w:pos="563"/>
        </w:tabs>
        <w:ind w:left="43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- Eventual destaque do valor de retenções tributárias cabíveis.</w:t>
      </w:r>
    </w:p>
    <w:p w14:paraId="612847E7" w14:textId="77777777" w:rsidR="00F83CD8" w:rsidRPr="00573315" w:rsidRDefault="00000000">
      <w:pPr>
        <w:tabs>
          <w:tab w:val="left" w:pos="563"/>
        </w:tabs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9.4. Havendo erro na apresentação da nota fiscal ou instrumento de cobrança equivalente, ou circunstância que impeça a liquidação da despesa, esta ficará sobrestada até que o contratado providencie as medidas saneadoras, reiniciando-se o prazo após a comprovação da regularização da situação, sem ônus ao contratante.</w:t>
      </w:r>
    </w:p>
    <w:p w14:paraId="615B423B" w14:textId="77777777" w:rsidR="00F83CD8" w:rsidRPr="00573315" w:rsidRDefault="00000000">
      <w:pPr>
        <w:tabs>
          <w:tab w:val="left" w:pos="109"/>
        </w:tabs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9.5.</w:t>
      </w:r>
      <w:r w:rsidRPr="00573315">
        <w:rPr>
          <w:rFonts w:ascii="Verdana" w:hAnsi="Verdana"/>
          <w:b/>
          <w:bCs/>
          <w:sz w:val="20"/>
        </w:rPr>
        <w:t xml:space="preserve"> </w:t>
      </w:r>
      <w:r w:rsidRPr="00573315">
        <w:rPr>
          <w:rFonts w:ascii="Verdana" w:hAnsi="Verdana"/>
          <w:sz w:val="20"/>
        </w:rPr>
        <w:t>A</w:t>
      </w:r>
      <w:r w:rsidRPr="00573315">
        <w:rPr>
          <w:rFonts w:ascii="Verdana" w:hAnsi="Verdana"/>
          <w:sz w:val="20"/>
          <w:lang w:eastAsia="en-US"/>
        </w:rPr>
        <w:t xml:space="preserve"> nota fiscal ou instrumento de cobrança equivalente deverá ser obrigatoriamente acompanhado da comprovação da regularidade fiscal</w:t>
      </w:r>
      <w:r w:rsidRPr="00573315">
        <w:rPr>
          <w:rStyle w:val="Hyperlink"/>
          <w:rFonts w:ascii="Verdana" w:hAnsi="Verdana"/>
          <w:color w:val="auto"/>
          <w:sz w:val="20"/>
          <w:lang w:eastAsia="en-US"/>
        </w:rPr>
        <w:t>.</w:t>
      </w:r>
    </w:p>
    <w:p w14:paraId="0508BF0F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9.6. O pagamento será efetuado no prazo de até 30 (trinta) dias úteis contados da finalização da liquidação da despesa.</w:t>
      </w:r>
    </w:p>
    <w:p w14:paraId="3B964BF6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9.7.</w:t>
      </w:r>
      <w:r w:rsidRPr="00573315">
        <w:rPr>
          <w:rFonts w:ascii="Verdana" w:hAnsi="Verdana"/>
          <w:b/>
          <w:bCs/>
          <w:sz w:val="20"/>
        </w:rPr>
        <w:t xml:space="preserve"> </w:t>
      </w:r>
      <w:r w:rsidRPr="00573315">
        <w:rPr>
          <w:rFonts w:ascii="Verdana" w:hAnsi="Verdana"/>
          <w:sz w:val="20"/>
        </w:rPr>
        <w:t>O pagamento será realizado por meio de ordem bancária, para crédito em banco, agência e conta corrente indicados pelo contratado.</w:t>
      </w:r>
    </w:p>
    <w:p w14:paraId="0FECE7F9" w14:textId="77777777" w:rsidR="00F83CD8" w:rsidRPr="00573315" w:rsidRDefault="00000000">
      <w:pPr>
        <w:ind w:left="-22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9.8. Será considerada data do pagamento o dia em que constar como emitida a ordem bancária para pagamento.</w:t>
      </w:r>
    </w:p>
    <w:p w14:paraId="0E8BF980" w14:textId="77777777" w:rsidR="00F83CD8" w:rsidRPr="00573315" w:rsidRDefault="00000000">
      <w:pPr>
        <w:ind w:left="-79"/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 xml:space="preserve"> 9.9.</w:t>
      </w:r>
      <w:r w:rsidRPr="00573315">
        <w:rPr>
          <w:rFonts w:ascii="Verdana" w:hAnsi="Verdana"/>
          <w:b/>
          <w:bCs/>
          <w:sz w:val="20"/>
        </w:rPr>
        <w:t xml:space="preserve"> </w:t>
      </w:r>
      <w:r w:rsidRPr="00573315">
        <w:rPr>
          <w:rFonts w:ascii="Verdana" w:hAnsi="Verdana"/>
          <w:sz w:val="20"/>
        </w:rPr>
        <w:t>Quando do pagamento, será efetuada a retenção tributária prevista na legislação aplicável.</w:t>
      </w:r>
    </w:p>
    <w:p w14:paraId="2AEF6643" w14:textId="77777777" w:rsidR="00F83CD8" w:rsidRPr="00573315" w:rsidRDefault="00000000">
      <w:pPr>
        <w:tabs>
          <w:tab w:val="left" w:pos="563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  <w:lang w:eastAsia="en-US"/>
        </w:rPr>
        <w:t xml:space="preserve">9.10. O contratado regularmente optante pelo Simples Nacional, nos termos da </w:t>
      </w:r>
      <w:hyperlink r:id="rId8">
        <w:r w:rsidRPr="00573315">
          <w:rPr>
            <w:rFonts w:ascii="Verdana" w:hAnsi="Verdana"/>
            <w:sz w:val="20"/>
            <w:lang w:eastAsia="en-US"/>
          </w:rPr>
          <w:t>Lei Complementar nº 123, de 2006</w:t>
        </w:r>
      </w:hyperlink>
      <w:r w:rsidRPr="00573315">
        <w:rPr>
          <w:rFonts w:ascii="Verdana" w:hAnsi="Verdana"/>
          <w:sz w:val="20"/>
          <w:lang w:eastAsia="en-US"/>
        </w:rPr>
        <w:t>, não sofrerá a retenção tributária quanto aos impostos e contribuições abrangidos por aquele regime. No entanto, o pagamento ficará condicionado à apresentação de comprovação, por meio de documento oficial, de que faz jus ao tratamento tributário favorecido previsto na referida Lei Complementar.</w:t>
      </w:r>
    </w:p>
    <w:p w14:paraId="3D32EC1C" w14:textId="77777777" w:rsidR="00F83CD8" w:rsidRPr="00573315" w:rsidRDefault="00000000">
      <w:pPr>
        <w:tabs>
          <w:tab w:val="left" w:pos="563"/>
        </w:tabs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  <w:lang w:eastAsia="en-US"/>
        </w:rPr>
        <w:t>9.11. Conforme Decreto Municipal nº 3.86/2023 será retido o Imposto de Renda na Fonte nos pagamentos efetuados por Órgãos, Autarquias e Fundações instituídas  e mantidas pelo Município de São Gabriel da Palha a pessoas jurídicas pelo fornecimento de bens e prestação de serviços.</w:t>
      </w:r>
    </w:p>
    <w:p w14:paraId="6598CADB" w14:textId="77777777" w:rsidR="00F83CD8" w:rsidRPr="00573315" w:rsidRDefault="00F83CD8">
      <w:pPr>
        <w:tabs>
          <w:tab w:val="left" w:pos="563"/>
        </w:tabs>
        <w:jc w:val="both"/>
        <w:rPr>
          <w:rFonts w:ascii="Verdana" w:hAnsi="Verdana"/>
          <w:sz w:val="20"/>
        </w:rPr>
      </w:pPr>
    </w:p>
    <w:p w14:paraId="31AB27D9" w14:textId="77777777" w:rsidR="00F83CD8" w:rsidRPr="00573315" w:rsidRDefault="00000000">
      <w:pPr>
        <w:suppressAutoHyphens w:val="0"/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sz w:val="20"/>
        </w:rPr>
        <w:t>10. RESULTADOS PRETENDIDOS COM A CONTRATAÇÃO</w:t>
      </w:r>
    </w:p>
    <w:p w14:paraId="0E248614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 xml:space="preserve">10.1. Os resultados pretendidos com a contratação tem como finalidade </w:t>
      </w:r>
      <w:r w:rsidRPr="00573315">
        <w:rPr>
          <w:rFonts w:ascii="Verdana" w:eastAsia="NSimSun" w:hAnsi="Verdana" w:cs="Arial"/>
          <w:sz w:val="20"/>
          <w:lang w:eastAsia="zh-CN" w:bidi="hi-IN"/>
        </w:rPr>
        <w:t>realizar a reestruturação do CRAS com recursos de emendas parlamentares.</w:t>
      </w:r>
    </w:p>
    <w:p w14:paraId="2A38635E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5048C62B" w14:textId="77777777" w:rsidR="00F83CD8" w:rsidRPr="00573315" w:rsidRDefault="00000000">
      <w:pPr>
        <w:suppressAutoHyphens w:val="0"/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sz w:val="20"/>
        </w:rPr>
        <w:t>11. CONTRATAÇÕES CORRELATAS E/OU INTERDEPENDENTES</w:t>
      </w:r>
    </w:p>
    <w:p w14:paraId="12E7423B" w14:textId="77777777" w:rsidR="00F83CD8" w:rsidRPr="00573315" w:rsidRDefault="00000000">
      <w:pPr>
        <w:suppressAutoHyphens w:val="0"/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11.1</w:t>
      </w:r>
      <w:r w:rsidRPr="00573315">
        <w:rPr>
          <w:rFonts w:ascii="Verdana" w:hAnsi="Verdana" w:cs="Arial"/>
          <w:b/>
          <w:bCs/>
          <w:sz w:val="20"/>
        </w:rPr>
        <w:t xml:space="preserve"> </w:t>
      </w:r>
      <w:r w:rsidRPr="00573315">
        <w:rPr>
          <w:rFonts w:ascii="Verdana" w:hAnsi="Verdana" w:cs="Arial"/>
          <w:sz w:val="20"/>
        </w:rPr>
        <w:t xml:space="preserve"> </w:t>
      </w:r>
      <w:r w:rsidRPr="00573315">
        <w:rPr>
          <w:rFonts w:ascii="Verdana" w:hAnsi="Verdana" w:cs="Arial"/>
          <w:sz w:val="20"/>
          <w:lang w:eastAsia="zh-CN"/>
        </w:rPr>
        <w:t xml:space="preserve">Não se </w:t>
      </w:r>
      <w:r w:rsidRPr="00573315">
        <w:rPr>
          <w:rFonts w:ascii="Verdana" w:hAnsi="Verdana" w:cs="Arial"/>
          <w:sz w:val="20"/>
        </w:rPr>
        <w:t xml:space="preserve">verifica contratações correlatas ou interdependentes </w:t>
      </w:r>
      <w:r w:rsidRPr="00573315">
        <w:rPr>
          <w:rFonts w:ascii="Verdana" w:hAnsi="Verdana" w:cs="Arial"/>
          <w:sz w:val="20"/>
          <w:lang w:eastAsia="zh-CN"/>
        </w:rPr>
        <w:t>no período</w:t>
      </w:r>
      <w:r w:rsidRPr="00573315">
        <w:rPr>
          <w:rFonts w:ascii="Verdana" w:hAnsi="Verdana" w:cs="Arial"/>
          <w:sz w:val="20"/>
        </w:rPr>
        <w:t>.</w:t>
      </w:r>
    </w:p>
    <w:p w14:paraId="4CE48668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76052DBA" w14:textId="77777777" w:rsidR="00F83CD8" w:rsidRPr="00573315" w:rsidRDefault="00000000">
      <w:pPr>
        <w:suppressAutoHyphens w:val="0"/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sz w:val="20"/>
        </w:rPr>
        <w:t>12. POSSÍVEIS IMPACTOS AMBIENTAIS</w:t>
      </w:r>
    </w:p>
    <w:p w14:paraId="3FB832A1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12.1.</w:t>
      </w:r>
      <w:r w:rsidRPr="00573315">
        <w:rPr>
          <w:rFonts w:ascii="Verdana" w:hAnsi="Verdana"/>
          <w:b/>
          <w:bCs/>
          <w:sz w:val="20"/>
        </w:rPr>
        <w:t xml:space="preserve">  </w:t>
      </w:r>
      <w:r w:rsidRPr="00573315">
        <w:rPr>
          <w:rFonts w:ascii="Verdana" w:hAnsi="Verdana" w:cs="Arial"/>
          <w:sz w:val="20"/>
          <w:lang w:eastAsia="zh-CN"/>
        </w:rPr>
        <w:t>Não há previsão de impacto ambiental para a contratação em tela.</w:t>
      </w:r>
    </w:p>
    <w:p w14:paraId="187B2049" w14:textId="77777777" w:rsidR="00F83CD8" w:rsidRPr="00573315" w:rsidRDefault="00F83CD8">
      <w:pPr>
        <w:jc w:val="both"/>
        <w:rPr>
          <w:rFonts w:ascii="Verdana" w:hAnsi="Verdana" w:cs="Arial"/>
          <w:b/>
          <w:sz w:val="20"/>
        </w:rPr>
      </w:pPr>
    </w:p>
    <w:p w14:paraId="4692432C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sz w:val="20"/>
        </w:rPr>
        <w:t>13. DECLARAÇÃO E JUSTIFICATIVA DA VIABILIDADE</w:t>
      </w:r>
    </w:p>
    <w:p w14:paraId="7427C0BA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13.1. Neste sentido, a equipe de planejamento deste ETP e de acordo com a autoridade deste requerente, declara viável esta contratação, com base nos elementos apresentados neste documento.</w:t>
      </w:r>
    </w:p>
    <w:p w14:paraId="3419A64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 xml:space="preserve">13.2. Considerando a necessidade de aquisição dos produtos decidiu-se pela contratação por </w:t>
      </w:r>
      <w:r w:rsidRPr="00573315">
        <w:rPr>
          <w:rFonts w:ascii="Verdana" w:hAnsi="Verdana" w:cs="Arial"/>
          <w:sz w:val="20"/>
          <w:lang w:eastAsia="zh-CN"/>
        </w:rPr>
        <w:t xml:space="preserve">dispensa </w:t>
      </w:r>
      <w:r w:rsidRPr="00573315">
        <w:rPr>
          <w:rFonts w:ascii="Verdana" w:hAnsi="Verdana" w:cs="Arial"/>
          <w:sz w:val="20"/>
        </w:rPr>
        <w:t xml:space="preserve"> de licitação.</w:t>
      </w:r>
    </w:p>
    <w:p w14:paraId="570D5580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3595E991" w14:textId="77777777" w:rsidR="00F83CD8" w:rsidRPr="00573315" w:rsidRDefault="00000000">
      <w:pPr>
        <w:pStyle w:val="Nivel1"/>
        <w:spacing w:before="0" w:after="0" w:line="240" w:lineRule="auto"/>
        <w:ind w:left="57"/>
        <w:rPr>
          <w:rFonts w:ascii="Verdana" w:hAnsi="Verdana"/>
          <w:color w:val="auto"/>
          <w:sz w:val="20"/>
          <w:szCs w:val="20"/>
        </w:rPr>
      </w:pPr>
      <w:r w:rsidRPr="00573315">
        <w:rPr>
          <w:rFonts w:ascii="Verdana" w:hAnsi="Verdana" w:cs="Times New Roman"/>
          <w:color w:val="auto"/>
          <w:sz w:val="20"/>
          <w:szCs w:val="20"/>
        </w:rPr>
        <w:t xml:space="preserve">14. ADEQUAÇÃO ORÇAMENTÁRIA </w:t>
      </w:r>
    </w:p>
    <w:p w14:paraId="532E1FE3" w14:textId="77777777" w:rsidR="00F83CD8" w:rsidRPr="00573315" w:rsidRDefault="00000000">
      <w:pPr>
        <w:pStyle w:val="PargrafodaLista"/>
        <w:spacing w:line="240" w:lineRule="auto"/>
        <w:ind w:left="57"/>
        <w:jc w:val="both"/>
        <w:rPr>
          <w:rFonts w:ascii="Verdana" w:hAnsi="Verdana"/>
          <w:sz w:val="20"/>
          <w:szCs w:val="20"/>
        </w:rPr>
      </w:pPr>
      <w:r w:rsidRPr="00573315">
        <w:rPr>
          <w:rFonts w:ascii="Verdana" w:hAnsi="Verdana"/>
          <w:sz w:val="20"/>
          <w:szCs w:val="20"/>
        </w:rPr>
        <w:t>14.1. As despesas decorrentes da presente contratação correrão à conta de recursos específicos consignados no Lei Orçamentária Anual, bem como requisição do sistema presente nos autos, sendo a contratação será atendida pelas seguintes dotações:</w:t>
      </w:r>
    </w:p>
    <w:p w14:paraId="2B8A3ADB" w14:textId="77777777" w:rsidR="00F83CD8" w:rsidRPr="00573315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FICHA – FONTE: 00427 – 2660000000006 - no valor de R$ 126.581,00 (cento e vinte e seis mil quinhentos e oitenta e um reais</w:t>
      </w:r>
      <w:r w:rsidRPr="00573315">
        <w:rPr>
          <w:rFonts w:ascii="Verdana" w:hAnsi="Verdana" w:cs="Arial"/>
          <w:sz w:val="20"/>
        </w:rPr>
        <w:t>) – emenda parlamentar federal nº 32047082022003,</w:t>
      </w:r>
    </w:p>
    <w:p w14:paraId="7100B2E8" w14:textId="77777777" w:rsidR="00F83CD8" w:rsidRPr="00573315" w:rsidRDefault="00000000">
      <w:pPr>
        <w:numPr>
          <w:ilvl w:val="0"/>
          <w:numId w:val="1"/>
        </w:num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FICHA - FONTE: 00413-16650000000010 – no valor de R$ 66.834,99 (sessenta e seis mil oitocentos e trinta e quatro reais e noventa e nove centavos) – emenda estadual.</w:t>
      </w:r>
    </w:p>
    <w:p w14:paraId="42DC55D5" w14:textId="77777777" w:rsidR="00F83CD8" w:rsidRPr="00573315" w:rsidRDefault="00F83CD8">
      <w:pPr>
        <w:ind w:left="720"/>
        <w:jc w:val="both"/>
        <w:rPr>
          <w:rFonts w:ascii="Verdana" w:hAnsi="Verdana" w:cs="Arial"/>
          <w:sz w:val="20"/>
        </w:rPr>
      </w:pPr>
    </w:p>
    <w:p w14:paraId="19D5A76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Totalizando o valor de R$ 193.415,99 (cento e noventa e três mil quatrocentos e quinze reais e noventa e nove centavos).</w:t>
      </w:r>
    </w:p>
    <w:p w14:paraId="348481F3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5A7A0518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bCs/>
          <w:sz w:val="20"/>
        </w:rPr>
        <w:t>15. DOS RESPONSÁVEIS PELA ELABORAÇÃO DO TERMO DE REFERÊNCIA</w:t>
      </w:r>
    </w:p>
    <w:p w14:paraId="16223DF1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15.1. A compilação de parte das informações mencionados na elaboração deste Termo de Referência foram estruturadas através do ETP – Estudo Técnico Preliminar elaborado pela secretaria requisitante.</w:t>
      </w:r>
    </w:p>
    <w:p w14:paraId="3AAF0052" w14:textId="77777777" w:rsidR="00F83CD8" w:rsidRPr="00573315" w:rsidRDefault="00F83CD8">
      <w:pPr>
        <w:jc w:val="both"/>
        <w:rPr>
          <w:rFonts w:ascii="Verdana" w:hAnsi="Verdana" w:cs="Arial"/>
          <w:b/>
          <w:sz w:val="20"/>
          <w:u w:val="single"/>
        </w:rPr>
      </w:pPr>
    </w:p>
    <w:p w14:paraId="66AC2559" w14:textId="77777777" w:rsidR="00F83CD8" w:rsidRPr="00573315" w:rsidRDefault="00F83CD8">
      <w:pPr>
        <w:jc w:val="both"/>
        <w:rPr>
          <w:rFonts w:ascii="Verdana" w:hAnsi="Verdana" w:cs="Arial"/>
          <w:b/>
          <w:sz w:val="20"/>
          <w:u w:val="single"/>
        </w:rPr>
      </w:pPr>
    </w:p>
    <w:p w14:paraId="7521C62F" w14:textId="77777777" w:rsidR="00F83CD8" w:rsidRPr="00573315" w:rsidRDefault="00F83CD8">
      <w:pPr>
        <w:jc w:val="both"/>
        <w:rPr>
          <w:rFonts w:ascii="Verdana" w:hAnsi="Verdana" w:cs="Arial"/>
          <w:b/>
          <w:sz w:val="20"/>
          <w:u w:val="single"/>
        </w:rPr>
      </w:pPr>
    </w:p>
    <w:p w14:paraId="2BBCE6C5" w14:textId="77777777" w:rsidR="00F83CD8" w:rsidRPr="00573315" w:rsidRDefault="00F83CD8">
      <w:pPr>
        <w:jc w:val="both"/>
        <w:rPr>
          <w:rFonts w:ascii="Verdana" w:hAnsi="Verdana" w:cs="Arial"/>
          <w:b/>
          <w:sz w:val="20"/>
          <w:u w:val="single"/>
        </w:rPr>
      </w:pPr>
    </w:p>
    <w:p w14:paraId="08EDEA69" w14:textId="77777777" w:rsidR="00F83CD8" w:rsidRPr="00573315" w:rsidRDefault="00000000">
      <w:pPr>
        <w:jc w:val="right"/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São Gabriel da Palha, 12 de junho de 2025</w:t>
      </w:r>
    </w:p>
    <w:p w14:paraId="2A4685A1" w14:textId="77777777" w:rsidR="00F83CD8" w:rsidRPr="00573315" w:rsidRDefault="00F83CD8">
      <w:pPr>
        <w:jc w:val="right"/>
        <w:rPr>
          <w:rFonts w:ascii="Verdana" w:hAnsi="Verdana" w:cs="Arial"/>
          <w:b/>
          <w:sz w:val="20"/>
          <w:u w:val="single"/>
        </w:rPr>
      </w:pPr>
    </w:p>
    <w:p w14:paraId="6E812FE7" w14:textId="77777777" w:rsidR="00F83CD8" w:rsidRPr="00573315" w:rsidRDefault="00F83CD8">
      <w:pPr>
        <w:jc w:val="right"/>
        <w:rPr>
          <w:rFonts w:ascii="Verdana" w:hAnsi="Verdana" w:cs="Arial"/>
          <w:b/>
          <w:sz w:val="20"/>
          <w:u w:val="single"/>
        </w:rPr>
      </w:pPr>
    </w:p>
    <w:p w14:paraId="6D179685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b/>
          <w:bCs/>
          <w:sz w:val="20"/>
        </w:rPr>
        <w:t>Elaborado por:</w:t>
      </w:r>
    </w:p>
    <w:p w14:paraId="3CF651D8" w14:textId="77777777" w:rsidR="00F83CD8" w:rsidRPr="00573315" w:rsidRDefault="00F83CD8">
      <w:pPr>
        <w:jc w:val="both"/>
        <w:rPr>
          <w:rFonts w:ascii="Verdana" w:hAnsi="Verdana" w:cs="Arial"/>
          <w:b/>
          <w:sz w:val="20"/>
          <w:u w:val="single"/>
        </w:rPr>
      </w:pPr>
    </w:p>
    <w:p w14:paraId="50AEAA1A" w14:textId="77777777" w:rsidR="00F83CD8" w:rsidRPr="00573315" w:rsidRDefault="00F83CD8">
      <w:pPr>
        <w:rPr>
          <w:rFonts w:ascii="Verdana" w:hAnsi="Verdana" w:cs="Arial"/>
          <w:b/>
          <w:sz w:val="20"/>
          <w:u w:val="single"/>
        </w:rPr>
      </w:pPr>
    </w:p>
    <w:p w14:paraId="57C09118" w14:textId="77777777" w:rsidR="00F83CD8" w:rsidRPr="00573315" w:rsidRDefault="00F83CD8">
      <w:pPr>
        <w:rPr>
          <w:rFonts w:ascii="Verdana" w:hAnsi="Verdana" w:cs="Arial"/>
          <w:b/>
          <w:sz w:val="20"/>
          <w:u w:val="single"/>
        </w:rPr>
      </w:pPr>
    </w:p>
    <w:p w14:paraId="118B23E8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21ED3B1F" w14:textId="77777777" w:rsidR="00F83CD8" w:rsidRPr="00573315" w:rsidRDefault="00000000">
      <w:pPr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RODOLFO ANTÔNIO DA SILVA NETO</w:t>
      </w:r>
    </w:p>
    <w:p w14:paraId="2501E4D0" w14:textId="77777777" w:rsidR="00F83CD8" w:rsidRPr="00573315" w:rsidRDefault="00000000">
      <w:pPr>
        <w:rPr>
          <w:rFonts w:ascii="Verdana" w:hAnsi="Verdana"/>
          <w:sz w:val="20"/>
        </w:rPr>
      </w:pPr>
      <w:r w:rsidRPr="00573315">
        <w:rPr>
          <w:rFonts w:ascii="Verdana" w:hAnsi="Verdana"/>
          <w:sz w:val="20"/>
        </w:rPr>
        <w:t>Agente de Serviços Técnicos – Portaria n° 9.965/2025</w:t>
      </w:r>
    </w:p>
    <w:p w14:paraId="54B3BD27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Mat. nº 000406</w:t>
      </w:r>
    </w:p>
    <w:p w14:paraId="0E6C66D9" w14:textId="77777777" w:rsidR="00F83CD8" w:rsidRPr="00573315" w:rsidRDefault="00F83CD8">
      <w:pPr>
        <w:jc w:val="both"/>
        <w:rPr>
          <w:rFonts w:ascii="Verdana" w:hAnsi="Verdana"/>
          <w:sz w:val="20"/>
        </w:rPr>
      </w:pPr>
    </w:p>
    <w:p w14:paraId="6FB258F6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280BD62C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692412C0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27F03581" w14:textId="77777777" w:rsidR="00F83CD8" w:rsidRPr="00573315" w:rsidRDefault="00F83CD8">
      <w:pPr>
        <w:jc w:val="both"/>
        <w:rPr>
          <w:rFonts w:ascii="Verdana" w:hAnsi="Verdana" w:cs="Arial"/>
          <w:sz w:val="20"/>
        </w:rPr>
      </w:pPr>
    </w:p>
    <w:p w14:paraId="454162F7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RUTH BARBARA DA SILWA NASCIMENTO</w:t>
      </w:r>
    </w:p>
    <w:p w14:paraId="787E740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lastRenderedPageBreak/>
        <w:t>Agente de Serviços Técnicos - Decreto n° 4.816/2025.</w:t>
      </w:r>
    </w:p>
    <w:p w14:paraId="2636D3CB" w14:textId="77777777" w:rsidR="00F83CD8" w:rsidRPr="00573315" w:rsidRDefault="00000000">
      <w:pPr>
        <w:jc w:val="both"/>
        <w:rPr>
          <w:rFonts w:ascii="Verdana" w:hAnsi="Verdana"/>
          <w:sz w:val="20"/>
        </w:rPr>
      </w:pPr>
      <w:r w:rsidRPr="00573315">
        <w:rPr>
          <w:rFonts w:ascii="Verdana" w:hAnsi="Verdana" w:cs="Arial"/>
          <w:sz w:val="20"/>
        </w:rPr>
        <w:t>Mat. nº 002983</w:t>
      </w:r>
      <w:bookmarkStart w:id="0" w:name="art116"/>
      <w:bookmarkStart w:id="1" w:name="art122%252525252525252525252525252525252"/>
      <w:bookmarkEnd w:id="0"/>
      <w:bookmarkEnd w:id="1"/>
    </w:p>
    <w:p w14:paraId="2067C7B9" w14:textId="77777777" w:rsidR="00F83CD8" w:rsidRPr="00573315" w:rsidRDefault="00F83CD8">
      <w:pPr>
        <w:rPr>
          <w:rFonts w:ascii="Verdana" w:hAnsi="Verdana"/>
          <w:sz w:val="20"/>
        </w:rPr>
      </w:pPr>
      <w:bookmarkStart w:id="2" w:name="art122%252525252525252525252525252525251"/>
      <w:bookmarkStart w:id="3" w:name="art122%252525252525252525252525252525253"/>
      <w:bookmarkStart w:id="4" w:name="art122%252525252525252525252525252525254"/>
      <w:bookmarkStart w:id="5" w:name="art122%252525252525252525252525252525255"/>
      <w:bookmarkStart w:id="6" w:name="art122%252525252525252525252525252525256"/>
      <w:bookmarkStart w:id="7" w:name="art122%252525252525252525252525252525257"/>
      <w:bookmarkEnd w:id="2"/>
      <w:bookmarkEnd w:id="3"/>
      <w:bookmarkEnd w:id="4"/>
      <w:bookmarkEnd w:id="5"/>
      <w:bookmarkEnd w:id="6"/>
      <w:bookmarkEnd w:id="7"/>
    </w:p>
    <w:sectPr w:rsidR="00F83CD8" w:rsidRPr="0057331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905" w:bottom="851" w:left="1517" w:header="227" w:footer="567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FBCD78" w14:textId="77777777" w:rsidR="00E64863" w:rsidRDefault="00E64863">
      <w:r>
        <w:separator/>
      </w:r>
    </w:p>
  </w:endnote>
  <w:endnote w:type="continuationSeparator" w:id="0">
    <w:p w14:paraId="0C23B12B" w14:textId="77777777" w:rsidR="00E64863" w:rsidRDefault="00E648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Ecofont_Spranq_eco_Sans">
    <w:altName w:val="Cambria"/>
    <w:charset w:val="00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enQuanYi Micro He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IPMDOI+TimesNewRoman">
    <w:charset w:val="00"/>
    <w:family w:val="roman"/>
    <w:pitch w:val="variable"/>
  </w:font>
  <w:font w:name="0">
    <w:panose1 w:val="00000000000000000000"/>
    <w:charset w:val="00"/>
    <w:family w:val="roman"/>
    <w:notTrueType/>
    <w:pitch w:val="default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Univers 45 Light"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93F63" w14:textId="77777777" w:rsidR="00F83CD8" w:rsidRDefault="00F83CD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C8FE" w14:textId="77777777" w:rsidR="00F83CD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1EA692DD" w14:textId="77777777" w:rsidR="00F83CD8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E691D" w14:textId="77777777" w:rsidR="00F83CD8" w:rsidRDefault="00000000">
    <w:pPr>
      <w:pStyle w:val="Rodap"/>
      <w:pBdr>
        <w:top w:val="single" w:sz="4" w:space="1" w:color="000000"/>
      </w:pBdr>
      <w:tabs>
        <w:tab w:val="left" w:pos="540"/>
        <w:tab w:val="center" w:pos="4536"/>
      </w:tabs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 xml:space="preserve">Praça Vicente Glazar, 159 | São Gabriel da Palha-ES | CEP 29780 000  </w:t>
    </w:r>
  </w:p>
  <w:p w14:paraId="401347B7" w14:textId="77777777" w:rsidR="00F83CD8" w:rsidRDefault="00000000">
    <w:pPr>
      <w:pStyle w:val="Rodap"/>
      <w:pBdr>
        <w:top w:val="single" w:sz="4" w:space="1" w:color="000000"/>
      </w:pBdr>
      <w:jc w:val="center"/>
      <w:rPr>
        <w:rFonts w:ascii="Tahoma" w:hAnsi="Tahoma" w:cs="Tahoma"/>
        <w:sz w:val="16"/>
        <w:szCs w:val="16"/>
      </w:rPr>
    </w:pPr>
    <w:r>
      <w:rPr>
        <w:rStyle w:val="Nmerodepgina"/>
        <w:rFonts w:ascii="Tahoma" w:hAnsi="Tahoma" w:cs="Tahoma"/>
        <w:sz w:val="16"/>
        <w:szCs w:val="16"/>
      </w:rPr>
      <w:t>Fone/Fax (027) 3727-1366 | E-mail: compras@saogabriel.es.gov.br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989FE" w14:textId="77777777" w:rsidR="00E64863" w:rsidRDefault="00E64863">
      <w:r>
        <w:separator/>
      </w:r>
    </w:p>
  </w:footnote>
  <w:footnote w:type="continuationSeparator" w:id="0">
    <w:p w14:paraId="1D7A671C" w14:textId="77777777" w:rsidR="00E64863" w:rsidRDefault="00E648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159E8" w14:textId="77777777" w:rsidR="00F83CD8" w:rsidRDefault="00F83CD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F564E" w14:textId="77777777" w:rsidR="00F83CD8" w:rsidRDefault="00F83CD8">
    <w:pPr>
      <w:rPr>
        <w:rFonts w:ascii="Verdana" w:hAnsi="Verdana"/>
        <w:sz w:val="26"/>
        <w:szCs w:val="26"/>
      </w:rPr>
    </w:pPr>
  </w:p>
  <w:p w14:paraId="5F7EBAC3" w14:textId="77777777" w:rsidR="00F83CD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7216" behindDoc="1" locked="0" layoutInCell="0" allowOverlap="1" wp14:anchorId="05A3761A" wp14:editId="6AF67006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1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BCFAF2C" w14:textId="77777777" w:rsidR="00F83CD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097FE6C8" w14:textId="77777777" w:rsidR="00F83CD8" w:rsidRDefault="00F83CD8">
    <w:pPr>
      <w:jc w:val="center"/>
      <w:rPr>
        <w:rFonts w:ascii="Arial Narrow" w:hAnsi="Arial Narrow"/>
        <w:b/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D18D" w14:textId="77777777" w:rsidR="00F83CD8" w:rsidRDefault="00F83CD8">
    <w:pPr>
      <w:rPr>
        <w:rFonts w:ascii="Verdana" w:hAnsi="Verdana"/>
        <w:sz w:val="26"/>
        <w:szCs w:val="26"/>
      </w:rPr>
    </w:pPr>
  </w:p>
  <w:p w14:paraId="7C76E044" w14:textId="77777777" w:rsidR="00F83CD8" w:rsidRDefault="00000000">
    <w:pPr>
      <w:rPr>
        <w:rFonts w:ascii="Verdana" w:hAnsi="Verdana"/>
        <w:sz w:val="26"/>
        <w:szCs w:val="26"/>
      </w:rPr>
    </w:pPr>
    <w:r>
      <w:rPr>
        <w:rFonts w:ascii="Verdana" w:hAnsi="Verdana"/>
        <w:noProof/>
        <w:sz w:val="26"/>
        <w:szCs w:val="26"/>
      </w:rPr>
      <w:drawing>
        <wp:anchor distT="0" distB="0" distL="114300" distR="114300" simplePos="0" relativeHeight="251658240" behindDoc="1" locked="0" layoutInCell="0" allowOverlap="1" wp14:anchorId="0B34994F" wp14:editId="7BEA1A60">
          <wp:simplePos x="0" y="0"/>
          <wp:positionH relativeFrom="column">
            <wp:posOffset>-137160</wp:posOffset>
          </wp:positionH>
          <wp:positionV relativeFrom="paragraph">
            <wp:posOffset>83820</wp:posOffset>
          </wp:positionV>
          <wp:extent cx="647700" cy="542925"/>
          <wp:effectExtent l="0" t="0" r="0" b="0"/>
          <wp:wrapSquare wrapText="bothSides"/>
          <wp:docPr id="2" name="Imagem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m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64770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77868CEE" w14:textId="77777777" w:rsidR="00F83CD8" w:rsidRDefault="00000000">
    <w:pPr>
      <w:jc w:val="center"/>
      <w:rPr>
        <w:rFonts w:ascii="Arial Narrow" w:hAnsi="Arial Narrow"/>
        <w:b/>
        <w:sz w:val="20"/>
      </w:rPr>
    </w:pPr>
    <w:r>
      <w:rPr>
        <w:rFonts w:ascii="Verdana" w:hAnsi="Verdana"/>
        <w:sz w:val="26"/>
        <w:szCs w:val="26"/>
      </w:rPr>
      <w:t>PREFEITURA MUNICIPAL DE SÃO GABRIEL DA PALHA</w:t>
    </w:r>
    <w:r>
      <w:rPr>
        <w:rFonts w:ascii="Verdana" w:hAnsi="Verdana"/>
        <w:b/>
        <w:sz w:val="26"/>
        <w:szCs w:val="26"/>
      </w:rPr>
      <w:br/>
    </w:r>
    <w:r>
      <w:rPr>
        <w:rFonts w:ascii="Calibri" w:hAnsi="Calibri"/>
        <w:sz w:val="16"/>
        <w:szCs w:val="16"/>
      </w:rPr>
      <w:t>ESTADO DO ESPÍRITO SANTO</w:t>
    </w:r>
    <w:r>
      <w:rPr>
        <w:rFonts w:ascii="Verdana" w:hAnsi="Verdana"/>
        <w:b/>
        <w:sz w:val="22"/>
        <w:szCs w:val="22"/>
      </w:rPr>
      <w:t xml:space="preserve"> </w:t>
    </w:r>
    <w:r>
      <w:rPr>
        <w:rFonts w:ascii="Verdana" w:hAnsi="Verdana"/>
        <w:b/>
        <w:sz w:val="22"/>
        <w:szCs w:val="22"/>
      </w:rPr>
      <w:br/>
    </w:r>
    <w:r>
      <w:rPr>
        <w:rFonts w:ascii="Arial Narrow" w:hAnsi="Arial Narrow"/>
        <w:b/>
        <w:sz w:val="20"/>
      </w:rPr>
      <w:t>Departamento De Compras e Contratos</w:t>
    </w:r>
  </w:p>
  <w:p w14:paraId="7FD98CF4" w14:textId="77777777" w:rsidR="00F83CD8" w:rsidRDefault="00F83CD8">
    <w:pPr>
      <w:jc w:val="center"/>
      <w:rPr>
        <w:rFonts w:ascii="Arial Narrow" w:hAnsi="Arial Narrow"/>
        <w:b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3C0158"/>
    <w:multiLevelType w:val="multilevel"/>
    <w:tmpl w:val="6E68ED26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53622092"/>
    <w:multiLevelType w:val="multilevel"/>
    <w:tmpl w:val="7F22C4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32774111">
    <w:abstractNumId w:val="0"/>
  </w:num>
  <w:num w:numId="2" w16cid:durableId="1043018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CD8"/>
    <w:rsid w:val="00573315"/>
    <w:rsid w:val="00E64863"/>
    <w:rsid w:val="00F83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A3C75B"/>
  <w15:docId w15:val="{319492FB-A5FA-415D-A416-A24DE68E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ahoma"/>
        <w:sz w:val="22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/>
      <w:outlineLvl w:val="0"/>
    </w:pPr>
    <w:rPr>
      <w:rFonts w:ascii="Cambria" w:eastAsia="Calibri" w:hAnsi="Cambria" w:cs="Tahoma"/>
      <w:b/>
      <w:bCs/>
      <w:color w:val="117A02" w:themeColor="accent1" w:themeShade="BF"/>
      <w:sz w:val="28"/>
      <w:szCs w:val="28"/>
    </w:rPr>
  </w:style>
  <w:style w:type="paragraph" w:styleId="Ttulo2">
    <w:name w:val="heading 2"/>
    <w:basedOn w:val="LO-normal"/>
    <w:next w:val="LO-normal"/>
    <w:uiPriority w:val="9"/>
    <w:semiHidden/>
    <w:unhideWhenUsed/>
    <w:qFormat/>
    <w:pPr>
      <w:keepNext/>
      <w:keepLines/>
      <w:outlineLvl w:val="1"/>
    </w:pPr>
    <w:rPr>
      <w:b/>
    </w:rPr>
  </w:style>
  <w:style w:type="paragraph" w:styleId="Ttulo3">
    <w:name w:val="heading 3"/>
    <w:basedOn w:val="LO-normal"/>
    <w:next w:val="LO-normal"/>
    <w:uiPriority w:val="9"/>
    <w:semiHidden/>
    <w:unhideWhenUsed/>
    <w:qFormat/>
    <w:pPr>
      <w:keepNext/>
      <w:keepLines/>
      <w:outlineLvl w:val="2"/>
    </w:pPr>
    <w:rPr>
      <w:i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"/>
    <w:qFormat/>
  </w:style>
  <w:style w:type="character" w:customStyle="1" w:styleId="CabealhoChar">
    <w:name w:val="Cabeçalho Char"/>
    <w:basedOn w:val="Fontepargpadro"/>
    <w:link w:val="Cabealh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RodapChar">
    <w:name w:val="Rodapé Char"/>
    <w:basedOn w:val="Fontepargpadro"/>
    <w:link w:val="Rodap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A6">
    <w:name w:val="A6"/>
    <w:qFormat/>
    <w:rPr>
      <w:color w:val="000000"/>
      <w:sz w:val="18"/>
      <w:u w:val="single"/>
    </w:rPr>
  </w:style>
  <w:style w:type="character" w:styleId="Hyperlink">
    <w:name w:val="Hyperlink"/>
    <w:rPr>
      <w:color w:val="000080"/>
      <w:u w:val="single"/>
    </w:rPr>
  </w:style>
  <w:style w:type="character" w:customStyle="1" w:styleId="CorpodetextoChar">
    <w:name w:val="Corpo de texto Char"/>
    <w:basedOn w:val="Fontepargpadro"/>
    <w:link w:val="Corpodetexto"/>
    <w:qFormat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itaoChar">
    <w:name w:val="Citação Char"/>
    <w:basedOn w:val="Fontepargpadro"/>
    <w:link w:val="Citao"/>
    <w:qFormat/>
    <w:rPr>
      <w:rFonts w:ascii="Arial" w:eastAsia="Calibri" w:hAnsi="Arial" w:cs="Tahoma"/>
      <w:i/>
      <w:iCs/>
      <w:color w:val="000000"/>
      <w:sz w:val="20"/>
      <w:szCs w:val="24"/>
      <w:shd w:val="clear" w:color="auto" w:fill="FFFFCC"/>
    </w:rPr>
  </w:style>
  <w:style w:type="character" w:customStyle="1" w:styleId="Nivel1Char">
    <w:name w:val="Nivel1 Char"/>
    <w:basedOn w:val="Fontepargpadro"/>
    <w:link w:val="Nivel1"/>
    <w:qFormat/>
    <w:rPr>
      <w:rFonts w:ascii="Arial" w:eastAsia="Calibri" w:hAnsi="Arial" w:cs="Arial"/>
      <w:b/>
      <w:color w:val="000000"/>
      <w:sz w:val="32"/>
      <w:szCs w:val="32"/>
    </w:rPr>
  </w:style>
  <w:style w:type="character" w:customStyle="1" w:styleId="Nivel2Char">
    <w:name w:val="Nivel 2 Char"/>
    <w:basedOn w:val="Fontepargpadro"/>
    <w:link w:val="Nivel2"/>
    <w:qFormat/>
    <w:rPr>
      <w:rFonts w:ascii="Arial" w:hAnsi="Arial" w:cs="Arial"/>
      <w:color w:val="000000"/>
    </w:rPr>
  </w:style>
  <w:style w:type="character" w:styleId="Forte">
    <w:name w:val="Strong"/>
    <w:qFormat/>
    <w:rPr>
      <w:b/>
      <w:bCs/>
    </w:rPr>
  </w:style>
  <w:style w:type="character" w:customStyle="1" w:styleId="Ttulo1Char">
    <w:name w:val="Título 1 Char"/>
    <w:basedOn w:val="Fontepargpadro"/>
    <w:link w:val="Ttulo1"/>
    <w:qFormat/>
    <w:rPr>
      <w:rFonts w:ascii="Cambria" w:eastAsia="Calibri" w:hAnsi="Cambria" w:cs="Tahoma"/>
      <w:b/>
      <w:bCs/>
      <w:color w:val="117A02" w:themeColor="accent1" w:themeShade="BF"/>
      <w:sz w:val="28"/>
      <w:szCs w:val="28"/>
      <w:lang w:eastAsia="pt-BR"/>
    </w:rPr>
  </w:style>
  <w:style w:type="character" w:customStyle="1" w:styleId="Marcadores">
    <w:name w:val="Marcadores"/>
    <w:qFormat/>
    <w:rPr>
      <w:rFonts w:ascii="OpenSymbol" w:eastAsia="OpenSymbol" w:hAnsi="OpenSymbol" w:cs="OpenSymbol"/>
    </w:rPr>
  </w:style>
  <w:style w:type="character" w:styleId="HiperlinkVisitado">
    <w:name w:val="FollowedHyperlink"/>
    <w:rPr>
      <w:color w:val="800080"/>
      <w:u w:val="single"/>
    </w:rPr>
  </w:style>
  <w:style w:type="character" w:customStyle="1" w:styleId="WW8Num9z0">
    <w:name w:val="WW8Num9z0"/>
    <w:qFormat/>
    <w:rPr>
      <w:b/>
      <w:bCs/>
    </w:rPr>
  </w:style>
  <w:style w:type="character" w:customStyle="1" w:styleId="WW8Num10z0">
    <w:name w:val="WW8Num10z0"/>
    <w:qFormat/>
    <w:rPr>
      <w:b/>
      <w:bCs/>
    </w:rPr>
  </w:style>
  <w:style w:type="character" w:customStyle="1" w:styleId="Hyperlink1">
    <w:name w:val="Hyperlink1"/>
    <w:qFormat/>
    <w:rPr>
      <w:color w:val="000080"/>
      <w:u w:val="single"/>
    </w:rPr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b w:val="0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Fontepargpadro1">
    <w:name w:val="Fonte parág. padrão1"/>
    <w:qFormat/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qFormat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4Char">
    <w:name w:val="Título 4 Char"/>
    <w:qFormat/>
    <w:rPr>
      <w:sz w:val="24"/>
      <w:lang w:eastAsia="zh-CN"/>
    </w:rPr>
  </w:style>
  <w:style w:type="character" w:customStyle="1" w:styleId="CabealhoChar1">
    <w:name w:val="Cabeçalho Char1"/>
    <w:qFormat/>
    <w:rPr>
      <w:sz w:val="24"/>
      <w:lang w:eastAsia="zh-CN"/>
    </w:rPr>
  </w:style>
  <w:style w:type="character" w:customStyle="1" w:styleId="RodapChar1">
    <w:name w:val="Rodapé Char1"/>
    <w:qFormat/>
    <w:rPr>
      <w:sz w:val="24"/>
      <w:lang w:eastAsia="zh-CN"/>
    </w:rPr>
  </w:style>
  <w:style w:type="character" w:customStyle="1" w:styleId="TextodebaloChar1">
    <w:name w:val="Texto de balão Char1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qFormat/>
    <w:rPr>
      <w:lang w:eastAsia="zh-CN"/>
    </w:rPr>
  </w:style>
  <w:style w:type="character" w:customStyle="1" w:styleId="TtuloChar1">
    <w:name w:val="Título Char1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FootnoteCharacters">
    <w:name w:val="Footnote Characters"/>
    <w:qFormat/>
    <w:rPr>
      <w:rFonts w:ascii="Times New Roman" w:eastAsia="Times New Roman" w:hAnsi="Times New Roman" w:cs="Times New Roman"/>
      <w:color w:val="000000"/>
      <w:sz w:val="24"/>
      <w:szCs w:val="24"/>
      <w:vertAlign w:val="superscript"/>
    </w:rPr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Ttulo2Char">
    <w:name w:val="Título 2 Char"/>
    <w:qFormat/>
    <w:rPr>
      <w:b/>
      <w:color w:val="000000"/>
      <w:sz w:val="24"/>
    </w:rPr>
  </w:style>
  <w:style w:type="character" w:customStyle="1" w:styleId="normalchar1">
    <w:name w:val="normal__char1"/>
    <w:qFormat/>
    <w:rPr>
      <w:rFonts w:ascii="Arial" w:hAnsi="Arial" w:cs="Arial"/>
      <w:strike w:val="0"/>
      <w:dstrike w:val="0"/>
      <w:sz w:val="24"/>
      <w:szCs w:val="24"/>
      <w:u w:val="none"/>
      <w:effect w:val="none"/>
    </w:rPr>
  </w:style>
  <w:style w:type="character" w:customStyle="1" w:styleId="apple-style-span">
    <w:name w:val="apple-style-span"/>
    <w:qFormat/>
  </w:style>
  <w:style w:type="character" w:customStyle="1" w:styleId="citao2Char">
    <w:name w:val="citação 2 Char"/>
    <w:qFormat/>
    <w:rPr>
      <w:rFonts w:ascii="Ecofont_Spranq_eco_Sans" w:eastAsia="Calibri" w:hAnsi="Ecofont_Spranq_eco_Sans" w:cs="Tahoma"/>
      <w:i/>
      <w:iCs/>
      <w:color w:val="000000"/>
      <w:shd w:val="clear" w:color="auto" w:fill="FFFFCC"/>
      <w:lang w:eastAsia="en-US"/>
    </w:rPr>
  </w:style>
  <w:style w:type="character" w:customStyle="1" w:styleId="GradeColorida-nfase1Char">
    <w:name w:val="Grade Colorida - Ênfase 1 Char"/>
    <w:qFormat/>
    <w:rPr>
      <w:rFonts w:ascii="Ecofont_Spranq_eco_Sans" w:eastAsia="Calibri" w:hAnsi="Ecofont_Spranq_eco_Sans"/>
      <w:i/>
      <w:iCs/>
      <w:color w:val="000000"/>
      <w:szCs w:val="24"/>
      <w:shd w:val="clear" w:color="auto" w:fill="FFFFCC"/>
      <w:lang w:val="x-none" w:eastAsia="en-US"/>
    </w:rPr>
  </w:style>
  <w:style w:type="character" w:styleId="Refdecomentrio">
    <w:name w:val="annotation reference"/>
    <w:qFormat/>
    <w:rPr>
      <w:sz w:val="18"/>
      <w:szCs w:val="18"/>
    </w:rPr>
  </w:style>
  <w:style w:type="character" w:customStyle="1" w:styleId="TextodecomentrioChar">
    <w:name w:val="Texto de comentário Char"/>
    <w:qFormat/>
    <w:rPr>
      <w:rFonts w:ascii="Arial" w:hAnsi="Arial" w:cs="Tahoma"/>
    </w:rPr>
  </w:style>
  <w:style w:type="character" w:customStyle="1" w:styleId="AssuntodocomentrioChar">
    <w:name w:val="Assunto do comentário Char"/>
    <w:qFormat/>
    <w:rPr>
      <w:rFonts w:ascii="Arial" w:hAnsi="Arial" w:cs="Tahoma"/>
      <w:b/>
      <w:bCs/>
    </w:rPr>
  </w:style>
  <w:style w:type="character" w:customStyle="1" w:styleId="Nivel01Char">
    <w:name w:val="Nivel 01 Char"/>
    <w:qFormat/>
    <w:rPr>
      <w:rFonts w:ascii="Ecofont_Spranq_eco_Sans" w:eastAsia="MS Gothic" w:hAnsi="Ecofont_Spranq_eco_Sans"/>
      <w:b/>
      <w:bCs/>
      <w:color w:val="000000"/>
    </w:rPr>
  </w:style>
  <w:style w:type="character" w:customStyle="1" w:styleId="Nivel01Char0">
    <w:name w:val="Nivel_01 Char"/>
    <w:qFormat/>
    <w:rPr>
      <w:rFonts w:ascii="Ecofont_Spranq_eco_Sans" w:eastAsia="MS Gothic" w:hAnsi="Ecofont_Spranq_eco_Sans" w:cs="Times New Roman"/>
      <w:b/>
      <w:bCs/>
      <w:color w:val="365F91"/>
      <w:sz w:val="32"/>
      <w:szCs w:val="32"/>
    </w:rPr>
  </w:style>
  <w:style w:type="character" w:customStyle="1" w:styleId="QuoteChar">
    <w:name w:val="Quote Char"/>
    <w:qFormat/>
    <w:rPr>
      <w:rFonts w:ascii="Ecofont_Spranq_eco_Sans" w:hAnsi="Ecofont_Spranq_eco_Sans" w:cs="Ecofont_Spranq_eco_Sans"/>
      <w:i/>
      <w:iCs/>
      <w:color w:val="000000"/>
      <w:sz w:val="24"/>
      <w:szCs w:val="24"/>
      <w:shd w:val="clear" w:color="auto" w:fill="FFFFCC"/>
      <w:lang w:eastAsia="en-US"/>
    </w:rPr>
  </w:style>
  <w:style w:type="character" w:customStyle="1" w:styleId="apple-converted-space">
    <w:name w:val="apple-converted-space"/>
    <w:qFormat/>
  </w:style>
  <w:style w:type="character" w:customStyle="1" w:styleId="scayt-misspell-word">
    <w:name w:val="scayt-misspell-word"/>
    <w:qFormat/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Corpodetexto">
    <w:name w:val="Body Text"/>
    <w:basedOn w:val="Normal"/>
    <w:link w:val="CorpodetextoChar"/>
    <w:pPr>
      <w:spacing w:after="140" w:line="276" w:lineRule="auto"/>
    </w:p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caption1">
    <w:name w:val="caption1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bealhoeRodap">
    <w:name w:val="Cabeçalho e Rodapé"/>
    <w:basedOn w:val="Normal"/>
    <w:qFormat/>
  </w:style>
  <w:style w:type="paragraph" w:customStyle="1" w:styleId="Cabealhoerodap1">
    <w:name w:val="Cabeçalho e rodapé1"/>
    <w:basedOn w:val="Normal"/>
    <w:qFormat/>
  </w:style>
  <w:style w:type="paragraph" w:customStyle="1" w:styleId="Cabealhoerodap2">
    <w:name w:val="Cabeçalho e rodapé2"/>
    <w:basedOn w:val="Normal"/>
    <w:qFormat/>
  </w:style>
  <w:style w:type="paragraph" w:customStyle="1" w:styleId="Cabealhoerodap3">
    <w:name w:val="Cabeçalho e rodapé3"/>
    <w:basedOn w:val="Normal"/>
    <w:qFormat/>
  </w:style>
  <w:style w:type="paragraph" w:customStyle="1" w:styleId="Cabealhoerodap4">
    <w:name w:val="Cabeçalho e rodapé4"/>
    <w:basedOn w:val="Normal"/>
    <w:qFormat/>
  </w:style>
  <w:style w:type="paragraph" w:customStyle="1" w:styleId="Cabealhoerodap5">
    <w:name w:val="Cabeçalho e rodapé5"/>
    <w:basedOn w:val="Normal"/>
    <w:qFormat/>
  </w:style>
  <w:style w:type="paragraph" w:styleId="Cabealho">
    <w:name w:val="header"/>
    <w:basedOn w:val="Normal"/>
    <w:link w:val="CabealhoChar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pPr>
      <w:tabs>
        <w:tab w:val="center" w:pos="4419"/>
        <w:tab w:val="right" w:pos="8838"/>
      </w:tabs>
    </w:pPr>
  </w:style>
  <w:style w:type="paragraph" w:styleId="PargrafodaLista">
    <w:name w:val="List Paragraph"/>
    <w:basedOn w:val="Normal"/>
    <w:qFormat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abelanormal1">
    <w:name w:val="Tabela normal1"/>
    <w:qFormat/>
    <w:pPr>
      <w:spacing w:after="200" w:line="276" w:lineRule="auto"/>
    </w:pPr>
    <w:rPr>
      <w:rFonts w:ascii="Times New Roman" w:eastAsia="Tahoma" w:hAnsi="Times New Roman" w:cs="Times New Roman"/>
      <w:sz w:val="20"/>
      <w:szCs w:val="20"/>
      <w:lang w:eastAsia="pt-BR"/>
    </w:rPr>
  </w:style>
  <w:style w:type="paragraph" w:styleId="Citao">
    <w:name w:val="Quote"/>
    <w:basedOn w:val="Normal"/>
    <w:next w:val="Normal"/>
    <w:link w:val="CitaoChar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uppressAutoHyphens w:val="0"/>
      <w:spacing w:before="120"/>
      <w:jc w:val="both"/>
    </w:pPr>
    <w:rPr>
      <w:rFonts w:ascii="Arial" w:eastAsia="Calibri" w:hAnsi="Arial" w:cs="Tahoma"/>
      <w:i/>
      <w:iCs/>
      <w:color w:val="000000"/>
      <w:sz w:val="20"/>
      <w:szCs w:val="24"/>
      <w:lang w:eastAsia="en-US"/>
    </w:rPr>
  </w:style>
  <w:style w:type="paragraph" w:customStyle="1" w:styleId="Nivel1">
    <w:name w:val="Nivel1"/>
    <w:basedOn w:val="Ttulo1"/>
    <w:next w:val="Normal"/>
    <w:link w:val="Nivel1Char"/>
    <w:qFormat/>
    <w:pPr>
      <w:suppressAutoHyphens w:val="0"/>
      <w:spacing w:after="120" w:line="276" w:lineRule="auto"/>
      <w:jc w:val="both"/>
      <w:outlineLvl w:val="9"/>
    </w:pPr>
    <w:rPr>
      <w:rFonts w:ascii="Arial" w:hAnsi="Arial" w:cs="Arial"/>
      <w:bCs w:val="0"/>
      <w:sz w:val="32"/>
      <w:szCs w:val="32"/>
      <w:lang w:eastAsia="en-US"/>
    </w:rPr>
  </w:style>
  <w:style w:type="paragraph" w:customStyle="1" w:styleId="Standard">
    <w:name w:val="Standard"/>
    <w:qFormat/>
    <w:rPr>
      <w:rFonts w:ascii="Liberation Serif" w:eastAsia="NSimSun" w:hAnsi="Liberation Serif" w:cs="Lucida Sans"/>
      <w:kern w:val="2"/>
      <w:sz w:val="24"/>
      <w:szCs w:val="24"/>
      <w:lang w:eastAsia="zh-CN" w:bidi="hi-IN"/>
    </w:rPr>
  </w:style>
  <w:style w:type="paragraph" w:customStyle="1" w:styleId="citao2">
    <w:name w:val="citação 2"/>
    <w:basedOn w:val="Citao"/>
    <w:qFormat/>
    <w:pPr>
      <w:suppressAutoHyphens/>
    </w:pPr>
    <w:rPr>
      <w:kern w:val="2"/>
      <w:szCs w:val="20"/>
      <w:lang w:eastAsia="zh-CN" w:bidi="hi-IN"/>
    </w:rPr>
  </w:style>
  <w:style w:type="paragraph" w:customStyle="1" w:styleId="Nivel2">
    <w:name w:val="Nivel 2"/>
    <w:basedOn w:val="Normal"/>
    <w:link w:val="Nivel2Char"/>
    <w:qFormat/>
    <w:pPr>
      <w:suppressAutoHyphens w:val="0"/>
      <w:spacing w:before="120" w:after="120" w:line="276" w:lineRule="auto"/>
      <w:jc w:val="both"/>
    </w:pPr>
    <w:rPr>
      <w:rFonts w:ascii="Arial" w:eastAsia="Calibri" w:hAnsi="Arial" w:cs="Arial"/>
      <w:color w:val="000000"/>
      <w:sz w:val="22"/>
      <w:szCs w:val="22"/>
      <w:lang w:eastAsia="en-US"/>
    </w:rPr>
  </w:style>
  <w:style w:type="paragraph" w:customStyle="1" w:styleId="Nivel3">
    <w:name w:val="Nivel 3"/>
    <w:basedOn w:val="PargrafodaLista"/>
    <w:qFormat/>
    <w:pPr>
      <w:tabs>
        <w:tab w:val="left" w:pos="360"/>
      </w:tabs>
      <w:suppressAutoHyphens w:val="0"/>
      <w:spacing w:before="120" w:after="120"/>
      <w:ind w:left="425"/>
      <w:jc w:val="both"/>
    </w:pPr>
    <w:rPr>
      <w:rFonts w:ascii="Arial" w:hAnsi="Arial" w:cs="Arial"/>
      <w:sz w:val="20"/>
    </w:rPr>
  </w:style>
  <w:style w:type="paragraph" w:customStyle="1" w:styleId="TableParagraph">
    <w:name w:val="Table Paragraph"/>
    <w:basedOn w:val="Normal"/>
    <w:qFormat/>
    <w:pPr>
      <w:widowControl w:val="0"/>
      <w:suppressAutoHyphens w:val="0"/>
    </w:pPr>
    <w:rPr>
      <w:rFonts w:ascii="Calibri" w:eastAsia="Calibri" w:hAnsi="Calibri" w:cs="Calibri"/>
      <w:sz w:val="22"/>
      <w:szCs w:val="22"/>
      <w:lang w:val="pt-PT" w:eastAsia="en-US"/>
    </w:rPr>
  </w:style>
  <w:style w:type="paragraph" w:customStyle="1" w:styleId="PADRO">
    <w:name w:val="PADRÃO"/>
    <w:qFormat/>
    <w:pPr>
      <w:keepNext/>
      <w:widowControl w:val="0"/>
      <w:shd w:val="clear" w:color="auto" w:fill="FFFFFF"/>
      <w:spacing w:before="119" w:after="119" w:line="276" w:lineRule="auto"/>
      <w:ind w:firstLine="567"/>
      <w:jc w:val="both"/>
      <w:textAlignment w:val="baseline"/>
    </w:pPr>
    <w:rPr>
      <w:rFonts w:ascii="Ecofont_Spranq_eco_Sans" w:eastAsia="WenQuanYi Micro Hei" w:hAnsi="Ecofont_Spranq_eco_Sans" w:cs="Lohit Hindi"/>
      <w:sz w:val="24"/>
      <w:szCs w:val="24"/>
      <w:lang w:eastAsia="zh-CN" w:bidi="hi-IN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Default">
    <w:name w:val="Default"/>
    <w:qFormat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Nivel01">
    <w:name w:val="Nivel 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caption2">
    <w:name w:val="caption2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caption3">
    <w:name w:val="caption3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styleId="NormalWeb">
    <w:name w:val="Normal (Web)"/>
    <w:basedOn w:val="Normal"/>
    <w:qFormat/>
    <w:pPr>
      <w:spacing w:before="280" w:after="280"/>
    </w:pPr>
    <w:rPr>
      <w:szCs w:val="24"/>
    </w:rPr>
  </w:style>
  <w:style w:type="paragraph" w:customStyle="1" w:styleId="LO-normal">
    <w:name w:val="LO-normal"/>
    <w:qFormat/>
    <w:pPr>
      <w:spacing w:before="240" w:after="240" w:line="360" w:lineRule="auto"/>
      <w:jc w:val="both"/>
    </w:pPr>
    <w:rPr>
      <w:rFonts w:asciiTheme="minorHAnsi" w:eastAsiaTheme="minorHAnsi" w:hAnsiTheme="minorHAnsi" w:cstheme="minorBidi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sz w:val="20"/>
    </w:rPr>
  </w:style>
  <w:style w:type="paragraph" w:customStyle="1" w:styleId="Contedodoquadro">
    <w:name w:val="Conteúdo do quadro"/>
    <w:basedOn w:val="Normal"/>
    <w:qFormat/>
  </w:style>
  <w:style w:type="paragraph" w:customStyle="1" w:styleId="caption4">
    <w:name w:val="caption4"/>
    <w:basedOn w:val="Normal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Ttulo30">
    <w:name w:val="Título3"/>
    <w:basedOn w:val="Normal"/>
    <w:qFormat/>
    <w:pPr>
      <w:keepNext/>
      <w:suppressAutoHyphens w:val="0"/>
      <w:spacing w:before="240" w:after="120"/>
    </w:pPr>
    <w:rPr>
      <w:rFonts w:ascii="Liberation Sans" w:eastAsia="Microsoft YaHei" w:hAnsi="Liberation Sans"/>
      <w:color w:val="00000A"/>
      <w:sz w:val="28"/>
      <w:szCs w:val="28"/>
    </w:rPr>
  </w:style>
  <w:style w:type="paragraph" w:customStyle="1" w:styleId="Ttulo20">
    <w:name w:val="Título2"/>
    <w:basedOn w:val="Normal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tulo10">
    <w:name w:val="Título1"/>
    <w:basedOn w:val="Normal"/>
    <w:qFormat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Legenda1">
    <w:name w:val="Legenda1"/>
    <w:basedOn w:val="Normal"/>
    <w:qFormat/>
    <w:pPr>
      <w:spacing w:before="120" w:after="120"/>
    </w:pPr>
    <w:rPr>
      <w:i/>
      <w:iCs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qFormat/>
    <w:pPr>
      <w:spacing w:before="280" w:after="280"/>
    </w:pPr>
    <w:rPr>
      <w:rFonts w:ascii="IPMDOI+TimesNewRoman" w:eastAsia="Arial" w:hAnsi="IPMDOI+TimesNewRoman" w:cs="IPMDOI+TimesNewRoman"/>
    </w:rPr>
  </w:style>
  <w:style w:type="paragraph" w:customStyle="1" w:styleId="WW-Padro">
    <w:name w:val="WW-Padrão"/>
    <w:qFormat/>
    <w:rPr>
      <w:rFonts w:ascii="IPMDOI+TimesNewRoman" w:eastAsia="Arial" w:hAnsi="IPMDOI+TimesNewRoman" w:cs="IPMDOI+TimesNewRoman"/>
    </w:rPr>
  </w:style>
  <w:style w:type="paragraph" w:customStyle="1" w:styleId="Contedodetabela">
    <w:name w:val="Conteúdo de tabela"/>
    <w:basedOn w:val="Normal"/>
    <w:qFormat/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rFonts w:ascii="Liberation Serif" w:eastAsia="0" w:hAnsi="Liberation Serif" w:cs="Lucida Sans"/>
      <w:kern w:val="2"/>
      <w:sz w:val="24"/>
      <w:lang w:bidi="hi-IN"/>
    </w:rPr>
  </w:style>
  <w:style w:type="paragraph" w:customStyle="1" w:styleId="Indentado0">
    <w:name w:val="Indentado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  <w:tab w:val="right" w:pos="9923"/>
      </w:tabs>
      <w:ind w:left="567" w:firstLine="851"/>
      <w:jc w:val="both"/>
    </w:pPr>
    <w:rPr>
      <w:rFonts w:ascii="Arial" w:eastAsia="Arial" w:hAnsi="Arial" w:cs="DejaVu Sans"/>
    </w:rPr>
  </w:style>
  <w:style w:type="paragraph" w:customStyle="1" w:styleId="Pa4">
    <w:name w:val="Pa4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customStyle="1" w:styleId="Pa28">
    <w:name w:val="Pa28"/>
    <w:qFormat/>
    <w:pPr>
      <w:suppressAutoHyphens w:val="0"/>
      <w:spacing w:line="181" w:lineRule="atLeast"/>
    </w:pPr>
    <w:rPr>
      <w:rFonts w:ascii="Univers 45 Light" w:eastAsia="SimSun" w:hAnsi="Univers 45 Light" w:cs="DejaVu Sans"/>
      <w:lang w:eastAsia="pt-BR"/>
    </w:rPr>
  </w:style>
  <w:style w:type="paragraph" w:styleId="Textodebalo">
    <w:name w:val="Balloon Text"/>
    <w:basedOn w:val="Normal"/>
    <w:qFormat/>
    <w:rPr>
      <w:rFonts w:ascii="Tahoma" w:hAnsi="Tahoma"/>
      <w:sz w:val="16"/>
      <w:szCs w:val="16"/>
    </w:rPr>
  </w:style>
  <w:style w:type="paragraph" w:customStyle="1" w:styleId="Nvel2">
    <w:name w:val="Nível 2"/>
    <w:basedOn w:val="Normal"/>
    <w:qFormat/>
    <w:pPr>
      <w:spacing w:after="120"/>
      <w:jc w:val="both"/>
    </w:pPr>
    <w:rPr>
      <w:b/>
    </w:rPr>
  </w:style>
  <w:style w:type="paragraph" w:styleId="Commarcadores5">
    <w:name w:val="List Bullet 5"/>
    <w:basedOn w:val="Normal"/>
    <w:qFormat/>
    <w:pPr>
      <w:contextualSpacing/>
    </w:pPr>
  </w:style>
  <w:style w:type="paragraph" w:customStyle="1" w:styleId="GradeColorida-nfase11">
    <w:name w:val="Grade Colorida - Ênfase 1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lang w:val="x-none" w:eastAsia="en-US"/>
    </w:rPr>
  </w:style>
  <w:style w:type="paragraph" w:styleId="Textodecomentrio">
    <w:name w:val="annotation text"/>
    <w:basedOn w:val="Normal"/>
    <w:qFormat/>
  </w:style>
  <w:style w:type="paragraph" w:styleId="Assuntodocomentrio">
    <w:name w:val="annotation subject"/>
    <w:qFormat/>
    <w:rPr>
      <w:rFonts w:ascii="Arial" w:eastAsia="Arial" w:hAnsi="Arial" w:cs="DejaVu Sans"/>
      <w:b/>
      <w:bCs/>
      <w:sz w:val="20"/>
      <w:szCs w:val="20"/>
    </w:rPr>
  </w:style>
  <w:style w:type="paragraph" w:customStyle="1" w:styleId="Nivel010">
    <w:name w:val="Nivel_01"/>
    <w:basedOn w:val="Ttulo1"/>
    <w:qFormat/>
    <w:pPr>
      <w:tabs>
        <w:tab w:val="left" w:pos="567"/>
      </w:tabs>
      <w:spacing w:before="240"/>
      <w:jc w:val="both"/>
      <w:outlineLvl w:val="9"/>
    </w:pPr>
    <w:rPr>
      <w:rFonts w:ascii="Ecofont_Spranq_eco_Sans" w:eastAsia="MS Gothic" w:hAnsi="Ecofont_Spranq_eco_Sans" w:cs="Times New Roman"/>
      <w:sz w:val="20"/>
      <w:szCs w:val="20"/>
    </w:rPr>
  </w:style>
  <w:style w:type="paragraph" w:customStyle="1" w:styleId="SombreamentoMdio1-nfase31">
    <w:name w:val="Sombreamento Médio 1 - Ênfase 31"/>
    <w:basedOn w:val="Normal"/>
    <w:qFormat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hd w:val="clear" w:color="auto" w:fill="FFFFCC"/>
      <w:spacing w:before="120"/>
      <w:jc w:val="both"/>
    </w:pPr>
    <w:rPr>
      <w:rFonts w:ascii="Ecofont_Spranq_eco_Sans" w:eastAsia="Calibri" w:hAnsi="Ecofont_Spranq_eco_Sans"/>
      <w:i/>
      <w:iCs/>
      <w:color w:val="000000"/>
    </w:rPr>
  </w:style>
  <w:style w:type="paragraph" w:customStyle="1" w:styleId="PargrafodaLista1">
    <w:name w:val="Parágrafo da Lista1"/>
    <w:basedOn w:val="Normal"/>
    <w:qFormat/>
    <w:pPr>
      <w:ind w:left="720"/>
    </w:pPr>
    <w:rPr>
      <w:rFonts w:ascii="Ecofont_Spranq_eco_Sans" w:hAnsi="Ecofont_Spranq_eco_Sans" w:cs="Ecofont_Spranq_eco_Sans"/>
    </w:rPr>
  </w:style>
  <w:style w:type="paragraph" w:customStyle="1" w:styleId="Nivel10">
    <w:name w:val="Nivel 1"/>
    <w:qFormat/>
    <w:pPr>
      <w:tabs>
        <w:tab w:val="left" w:pos="360"/>
      </w:tabs>
      <w:spacing w:before="120" w:after="120" w:line="276" w:lineRule="auto"/>
      <w:ind w:left="644" w:hanging="432"/>
      <w:jc w:val="both"/>
    </w:pPr>
    <w:rPr>
      <w:rFonts w:ascii="Ecofont_Spranq_eco_Sans" w:eastAsia="Arial Unicode MS" w:hAnsi="Ecofont_Spranq_eco_Sans" w:cs="Arial"/>
      <w:b/>
    </w:rPr>
  </w:style>
  <w:style w:type="paragraph" w:customStyle="1" w:styleId="Nivel4">
    <w:name w:val="Nivel 4"/>
    <w:qFormat/>
    <w:pPr>
      <w:tabs>
        <w:tab w:val="left" w:pos="360"/>
      </w:tabs>
      <w:spacing w:before="120" w:after="120" w:line="276" w:lineRule="auto"/>
      <w:ind w:left="2491"/>
      <w:jc w:val="both"/>
    </w:pPr>
    <w:rPr>
      <w:rFonts w:ascii="Ecofont_Spranq_eco_Sans" w:eastAsia="Arial Unicode MS" w:hAnsi="Ecofont_Spranq_eco_Sans" w:cs="Arial"/>
    </w:rPr>
  </w:style>
  <w:style w:type="paragraph" w:customStyle="1" w:styleId="Nivel5">
    <w:name w:val="Nivel 5"/>
    <w:qFormat/>
    <w:pPr>
      <w:tabs>
        <w:tab w:val="left" w:pos="360"/>
      </w:tabs>
      <w:spacing w:before="120" w:after="120" w:line="276" w:lineRule="auto"/>
      <w:ind w:left="3485"/>
      <w:jc w:val="both"/>
    </w:pPr>
    <w:rPr>
      <w:rFonts w:ascii="Ecofont_Spranq_eco_Sans" w:eastAsia="Arial Unicode MS" w:hAnsi="Ecofont_Spranq_eco_Sans" w:cs="Arial"/>
    </w:rPr>
  </w:style>
  <w:style w:type="paragraph" w:customStyle="1" w:styleId="Citao1">
    <w:name w:val="Citação1"/>
    <w:basedOn w:val="Normal"/>
    <w:qFormat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ascii="Ecofont_Spranq_eco_Sans" w:hAnsi="Ecofont_Spranq_eco_Sans" w:cs="Ecofont_Spranq_eco_Sans"/>
      <w:i/>
      <w:iCs/>
      <w:color w:val="000000"/>
      <w:shd w:val="clear" w:color="auto" w:fill="FFFFCC"/>
      <w:lang w:eastAsia="en-US"/>
    </w:rPr>
  </w:style>
  <w:style w:type="paragraph" w:customStyle="1" w:styleId="Cabealhoerodap31">
    <w:name w:val="Cabeçalho e rodapé31"/>
    <w:basedOn w:val="Normal"/>
    <w:qFormat/>
  </w:style>
  <w:style w:type="numbering" w:customStyle="1" w:styleId="WW8Num10">
    <w:name w:val="WW8Num10"/>
    <w:qFormat/>
  </w:style>
  <w:style w:type="numbering" w:customStyle="1" w:styleId="WW8Num9">
    <w:name w:val="WW8Num9"/>
    <w:qFormat/>
  </w:style>
  <w:style w:type="numbering" w:customStyle="1" w:styleId="WW8Num2">
    <w:name w:val="WW8Num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cp/lcp123.ht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://www.planalto.gov.br/ccivil_03/_ato2019-2022/2021/lei/L14133.htm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Pages>8</Pages>
  <Words>3367</Words>
  <Characters>18182</Characters>
  <Application>Microsoft Office Word</Application>
  <DocSecurity>0</DocSecurity>
  <Lines>151</Lines>
  <Paragraphs>43</Paragraphs>
  <ScaleCrop>false</ScaleCrop>
  <Company/>
  <LinksUpToDate>false</LinksUpToDate>
  <CharactersWithSpaces>21506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Ruth Barbara da Silwa Nascimento</dc:creator>
  <dc:description/>
  <cp:lastModifiedBy>Erliton de Mello Braz</cp:lastModifiedBy>
  <cp:revision>148</cp:revision>
  <cp:lastPrinted>2025-03-27T12:04:00Z</cp:lastPrinted>
  <dcterms:created xsi:type="dcterms:W3CDTF">2025-08-19T17:57:00Z</dcterms:created>
  <dcterms:modified xsi:type="dcterms:W3CDTF">2025-08-19T17:57:00Z</dcterms:modified>
  <dc:language>pt-BR</dc:language>
</cp:coreProperties>
</file>